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172" w:rsidRDefault="003C39F7">
      <w:r>
        <w:t xml:space="preserve">Explanation </w:t>
      </w:r>
    </w:p>
    <w:p w:rsidR="003C39F7" w:rsidRDefault="003C39F7">
      <w:bookmarkStart w:id="0" w:name="_GoBack"/>
      <w:r w:rsidRPr="003C39F7">
        <w:rPr>
          <w:noProof/>
        </w:rPr>
        <w:drawing>
          <wp:inline distT="0" distB="0" distL="0" distR="0">
            <wp:extent cx="5943600" cy="4121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2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C3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9F7"/>
    <w:rsid w:val="00150F3D"/>
    <w:rsid w:val="003C39F7"/>
    <w:rsid w:val="00C4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86D3E-8E91-4916-B62C-963FB5EA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Magnetrol International</Company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Tang</dc:creator>
  <cp:keywords/>
  <dc:description/>
  <cp:lastModifiedBy>Feng Tang</cp:lastModifiedBy>
  <cp:revision>1</cp:revision>
  <dcterms:created xsi:type="dcterms:W3CDTF">2019-05-24T13:34:00Z</dcterms:created>
  <dcterms:modified xsi:type="dcterms:W3CDTF">2019-05-24T13:37:00Z</dcterms:modified>
</cp:coreProperties>
</file>