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811" w:rsidRDefault="009C7811" w:rsidP="009C7811">
      <w:pPr>
        <w:rPr>
          <w:b/>
          <w:sz w:val="32"/>
        </w:rPr>
      </w:pPr>
      <w:r w:rsidRPr="009C7811">
        <w:rPr>
          <w:b/>
          <w:sz w:val="32"/>
        </w:rPr>
        <w:t>Using</w:t>
      </w:r>
      <w:r w:rsidRPr="009C7811">
        <w:rPr>
          <w:b/>
          <w:sz w:val="32"/>
        </w:rPr>
        <w:t xml:space="preserve"> </w:t>
      </w:r>
      <w:r w:rsidR="006F6867">
        <w:rPr>
          <w:b/>
          <w:sz w:val="32"/>
        </w:rPr>
        <w:t>“</w:t>
      </w:r>
      <w:r>
        <w:rPr>
          <w:b/>
          <w:sz w:val="32"/>
        </w:rPr>
        <w:t>4CC</w:t>
      </w:r>
      <w:r w:rsidR="006F6867">
        <w:rPr>
          <w:b/>
          <w:sz w:val="32"/>
        </w:rPr>
        <w:t>”</w:t>
      </w:r>
      <w:r>
        <w:rPr>
          <w:b/>
          <w:sz w:val="32"/>
        </w:rPr>
        <w:t xml:space="preserve"> comm</w:t>
      </w:r>
      <w:r w:rsidR="001B7DEF">
        <w:rPr>
          <w:b/>
          <w:sz w:val="32"/>
        </w:rPr>
        <w:t>ands with the PD controller</w:t>
      </w:r>
    </w:p>
    <w:p w:rsidR="000275CD" w:rsidRPr="000275CD" w:rsidRDefault="001B7DEF" w:rsidP="009C7811">
      <w:pPr>
        <w:rPr>
          <w:b/>
        </w:rPr>
      </w:pPr>
      <w:r>
        <w:rPr>
          <w:b/>
        </w:rPr>
        <w:t xml:space="preserve">This document goes over the </w:t>
      </w:r>
      <w:r>
        <w:rPr>
          <w:b/>
        </w:rPr>
        <w:t>basic steps</w:t>
      </w:r>
      <w:r w:rsidR="000275CD">
        <w:rPr>
          <w:b/>
        </w:rPr>
        <w:t xml:space="preserve"> for using the One-PD Controller commands(“4CC”). The TPS65987D is the PD Controller used for examples in this document.</w:t>
      </w:r>
    </w:p>
    <w:p w:rsidR="000275CD" w:rsidRPr="000275CD" w:rsidRDefault="000275CD" w:rsidP="009C7811">
      <w:pPr>
        <w:rPr>
          <w:b/>
          <w:lang w:val="es-ES"/>
        </w:rPr>
      </w:pPr>
    </w:p>
    <w:p w:rsidR="000275CD" w:rsidRPr="000275CD" w:rsidRDefault="000275CD" w:rsidP="009C7811">
      <w:pPr>
        <w:pStyle w:val="ListParagraph"/>
        <w:ind w:left="0"/>
        <w:rPr>
          <w:b/>
          <w:sz w:val="28"/>
        </w:rPr>
      </w:pPr>
      <w:r>
        <w:rPr>
          <w:b/>
          <w:sz w:val="28"/>
        </w:rPr>
        <w:t>Introduction</w:t>
      </w:r>
    </w:p>
    <w:p w:rsidR="006F6867" w:rsidRDefault="009C7811" w:rsidP="009C7811">
      <w:pPr>
        <w:pStyle w:val="ListParagraph"/>
        <w:ind w:left="0"/>
      </w:pPr>
      <w:r w:rsidRPr="001538AC">
        <w:t>The One-PD Controller Commands</w:t>
      </w:r>
      <w:r>
        <w:t xml:space="preserve"> </w:t>
      </w:r>
      <w:r w:rsidRPr="001538AC">
        <w:t>(</w:t>
      </w:r>
      <w:r w:rsidR="000275CD">
        <w:t>“</w:t>
      </w:r>
      <w:r w:rsidRPr="001538AC">
        <w:t>4CC</w:t>
      </w:r>
      <w:r w:rsidR="000275CD">
        <w:t>”</w:t>
      </w:r>
      <w:r w:rsidRPr="001538AC">
        <w:t xml:space="preserve"> commands)</w:t>
      </w:r>
      <w:r w:rsidR="000275CD">
        <w:t xml:space="preserve"> are a </w:t>
      </w:r>
      <w:r w:rsidR="006F6867">
        <w:t xml:space="preserve">set of commands that simplify </w:t>
      </w:r>
      <w:r w:rsidR="00C429AD">
        <w:t xml:space="preserve">the use </w:t>
      </w:r>
      <w:r w:rsidR="006F6867">
        <w:t xml:space="preserve">some of the PD Controller’s commonly used functions. It allows the user to send a single command that manages more complex subroutines and function specific register writes for them. </w:t>
      </w:r>
      <w:r w:rsidRPr="001538AC">
        <w:t xml:space="preserve"> </w:t>
      </w:r>
    </w:p>
    <w:p w:rsidR="006F6867" w:rsidRDefault="006F6867" w:rsidP="009C7811">
      <w:pPr>
        <w:pStyle w:val="ListParagraph"/>
        <w:ind w:left="0"/>
      </w:pPr>
    </w:p>
    <w:p w:rsidR="009C7811" w:rsidRDefault="006F6867" w:rsidP="009C7811">
      <w:pPr>
        <w:pStyle w:val="ListParagraph"/>
        <w:ind w:left="0"/>
      </w:pPr>
      <w:r>
        <w:t xml:space="preserve">The 4CC command structure </w:t>
      </w:r>
      <w:r w:rsidR="00885506">
        <w:t>is</w:t>
      </w:r>
      <w:r w:rsidR="009C7811" w:rsidRPr="001538AC">
        <w:t xml:space="preserve"> similar to a software function, where you have input arguments</w:t>
      </w:r>
      <w:r w:rsidR="009C7811">
        <w:t xml:space="preserve"> </w:t>
      </w:r>
      <w:r w:rsidR="009C7811" w:rsidRPr="001538AC">
        <w:t>(Input DataX), a function call</w:t>
      </w:r>
      <w:r w:rsidR="009C7811">
        <w:t xml:space="preserve"> </w:t>
      </w:r>
      <w:r w:rsidR="009C7811" w:rsidRPr="001538AC">
        <w:t>(writing the 4CC command to the Cmd1 register), and a returned output</w:t>
      </w:r>
      <w:r w:rsidR="009C7811">
        <w:t xml:space="preserve"> </w:t>
      </w:r>
      <w:r w:rsidR="009C7811" w:rsidRPr="001538AC">
        <w:t>(Output DataX). There are cases where there will not be an input or an output and you can skip the related steps</w:t>
      </w:r>
      <w:r w:rsidR="007509FD">
        <w:t>.</w:t>
      </w:r>
    </w:p>
    <w:p w:rsidR="007509FD" w:rsidRDefault="007509FD" w:rsidP="009C7811">
      <w:pPr>
        <w:pStyle w:val="ListParagraph"/>
        <w:ind w:left="0"/>
      </w:pPr>
    </w:p>
    <w:p w:rsidR="007509FD" w:rsidRDefault="007509FD" w:rsidP="009C7811">
      <w:pPr>
        <w:pStyle w:val="ListParagraph"/>
        <w:ind w:left="0"/>
      </w:pPr>
      <w:r>
        <w:t>In the Technical Reference Manual, the table corresponding to the Command will give a description of the commands function, will provide the Input DataX and Output DataX requirements, and will describe the state of command completion, side Effects, and any additional information.</w:t>
      </w:r>
    </w:p>
    <w:p w:rsidR="007509FD" w:rsidRDefault="007509FD" w:rsidP="009C7811">
      <w:pPr>
        <w:pStyle w:val="ListParagraph"/>
        <w:ind w:left="0"/>
      </w:pPr>
    </w:p>
    <w:p w:rsidR="007509FD" w:rsidRDefault="007509FD" w:rsidP="009C7811">
      <w:pPr>
        <w:pStyle w:val="ListParagraph"/>
        <w:ind w:left="0"/>
      </w:pPr>
    </w:p>
    <w:p w:rsidR="00CA1FC3" w:rsidRDefault="007509FD" w:rsidP="00CA1FC3">
      <w:pPr>
        <w:pStyle w:val="ListParagraph"/>
        <w:keepNext/>
        <w:ind w:left="0"/>
        <w:jc w:val="center"/>
      </w:pPr>
      <w:r>
        <w:rPr>
          <w:noProof/>
        </w:rPr>
        <w:drawing>
          <wp:inline distT="0" distB="0" distL="0" distR="0" wp14:anchorId="72C4BC2A" wp14:editId="3F484E2E">
            <wp:extent cx="5943600" cy="35464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9FD" w:rsidRDefault="00CA1FC3" w:rsidP="00CA1FC3">
      <w:pPr>
        <w:pStyle w:val="Caption"/>
        <w:jc w:val="center"/>
      </w:pPr>
      <w:r>
        <w:t xml:space="preserve">Figure </w:t>
      </w:r>
      <w:fldSimple w:instr=" SEQ Figure \* ARABIC ">
        <w:r w:rsidR="00011A01">
          <w:rPr>
            <w:noProof/>
          </w:rPr>
          <w:t>1</w:t>
        </w:r>
      </w:fldSimple>
      <w:r>
        <w:t>: 4CC 'SWSr' Command table taken from TPS65987DDH TRM</w:t>
      </w:r>
    </w:p>
    <w:p w:rsidR="007509FD" w:rsidRDefault="007509FD" w:rsidP="009C7811">
      <w:pPr>
        <w:pStyle w:val="ListParagraph"/>
        <w:ind w:left="0"/>
      </w:pPr>
    </w:p>
    <w:p w:rsidR="007509FD" w:rsidRPr="001538AC" w:rsidRDefault="007509FD" w:rsidP="009C7811">
      <w:pPr>
        <w:pStyle w:val="ListParagraph"/>
        <w:ind w:left="0"/>
      </w:pPr>
    </w:p>
    <w:p w:rsidR="009C7811" w:rsidRPr="001538AC" w:rsidRDefault="009C7811" w:rsidP="009C7811">
      <w:pPr>
        <w:pStyle w:val="ListParagraph"/>
        <w:ind w:left="1440"/>
      </w:pPr>
    </w:p>
    <w:p w:rsidR="009C7811" w:rsidRDefault="009C7811" w:rsidP="009C7811">
      <w:pPr>
        <w:pStyle w:val="ListParagraph"/>
        <w:ind w:left="0"/>
      </w:pPr>
      <w:r w:rsidRPr="001538AC">
        <w:t>The 4CC</w:t>
      </w:r>
      <w:r w:rsidR="00DF0043">
        <w:t xml:space="preserve"> </w:t>
      </w:r>
      <w:r w:rsidRPr="001538AC">
        <w:t>(</w:t>
      </w:r>
      <w:r w:rsidR="00DF0043" w:rsidRPr="001538AC">
        <w:t>4-byte</w:t>
      </w:r>
      <w:r w:rsidRPr="001538AC">
        <w:t xml:space="preserve"> character code) commands that are written to the Cmd</w:t>
      </w:r>
      <w:r w:rsidR="00DF0043">
        <w:t>1</w:t>
      </w:r>
      <w:r w:rsidRPr="001538AC">
        <w:t xml:space="preserve"> register are </w:t>
      </w:r>
      <w:r w:rsidR="007509FD">
        <w:t xml:space="preserve">obtained by converting </w:t>
      </w:r>
      <w:r w:rsidRPr="001538AC">
        <w:t xml:space="preserve">the </w:t>
      </w:r>
      <w:r w:rsidR="00DF0043" w:rsidRPr="001538AC">
        <w:t>4-character</w:t>
      </w:r>
      <w:r w:rsidRPr="001538AC">
        <w:t xml:space="preserve"> commands to ascii</w:t>
      </w:r>
      <w:r>
        <w:t xml:space="preserve">. You can use an ASCII converter to help you translate the codes </w:t>
      </w:r>
      <w:r w:rsidRPr="001538AC">
        <w:t>(</w:t>
      </w:r>
      <w:r w:rsidR="00DF0043">
        <w:t xml:space="preserve">for example, the 4CC command </w:t>
      </w:r>
      <w:r w:rsidRPr="001538AC">
        <w:t xml:space="preserve">‘SWSr’ </w:t>
      </w:r>
      <w:r w:rsidR="00DF0043">
        <w:t>gets converted to</w:t>
      </w:r>
      <w:r w:rsidRPr="001538AC">
        <w:t xml:space="preserve"> </w:t>
      </w:r>
      <w:r w:rsidR="00DF0043">
        <w:t>“</w:t>
      </w:r>
      <w:r w:rsidRPr="001538AC">
        <w:t>53 57 53 72</w:t>
      </w:r>
      <w:r w:rsidR="00DF0043">
        <w:t>”</w:t>
      </w:r>
      <w:r w:rsidRPr="001538AC">
        <w:t>)</w:t>
      </w:r>
      <w:r w:rsidR="00F56081">
        <w:t>. Please keep in mind that the commands are case-sensitive.</w:t>
      </w:r>
    </w:p>
    <w:p w:rsidR="009C7811" w:rsidRDefault="009C7811" w:rsidP="009C7811">
      <w:pPr>
        <w:pStyle w:val="ListParagraph"/>
        <w:ind w:left="0"/>
      </w:pPr>
    </w:p>
    <w:p w:rsidR="007509FD" w:rsidRDefault="009C7811" w:rsidP="007509FD">
      <w:pPr>
        <w:pStyle w:val="ListParagraph"/>
        <w:keepNext/>
        <w:ind w:left="0"/>
        <w:jc w:val="center"/>
      </w:pPr>
      <w:r>
        <w:rPr>
          <w:noProof/>
        </w:rPr>
        <w:drawing>
          <wp:inline distT="0" distB="0" distL="0" distR="0" wp14:anchorId="4AD75D76" wp14:editId="432963FD">
            <wp:extent cx="2838450" cy="25342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3948" cy="259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811" w:rsidRDefault="007509FD" w:rsidP="007509FD">
      <w:pPr>
        <w:pStyle w:val="Caption"/>
        <w:jc w:val="center"/>
      </w:pPr>
      <w:r>
        <w:t xml:space="preserve">Figure </w:t>
      </w:r>
      <w:fldSimple w:instr=" SEQ Figure \* ARABIC ">
        <w:r w:rsidR="00011A01">
          <w:rPr>
            <w:noProof/>
          </w:rPr>
          <w:t>2</w:t>
        </w:r>
      </w:fldSimple>
      <w:r>
        <w:t>: ASCII Calculat</w:t>
      </w:r>
      <w:r w:rsidR="00CA1FC3">
        <w:t>ion</w:t>
      </w:r>
    </w:p>
    <w:p w:rsidR="009C7811" w:rsidRDefault="009C7811" w:rsidP="009C7811">
      <w:pPr>
        <w:pStyle w:val="ListParagraph"/>
        <w:ind w:left="0"/>
      </w:pPr>
    </w:p>
    <w:p w:rsidR="009C7811" w:rsidRDefault="009C7811" w:rsidP="009C7811">
      <w:pPr>
        <w:pStyle w:val="ListParagraph"/>
        <w:ind w:left="0"/>
      </w:pPr>
    </w:p>
    <w:p w:rsidR="009C7811" w:rsidRDefault="009C7811" w:rsidP="009C7811">
      <w:pPr>
        <w:pStyle w:val="ListParagraph"/>
        <w:ind w:left="0"/>
      </w:pPr>
    </w:p>
    <w:p w:rsidR="009C7811" w:rsidRDefault="009C7811" w:rsidP="009C7811">
      <w:pPr>
        <w:pStyle w:val="ListParagraph"/>
        <w:ind w:left="0"/>
      </w:pPr>
      <w:r>
        <w:t>The Cmd1 (0x08) register will have the 4CC commands written to it over I2C. Any “Data” (InputDataX, OutputDataX) is written to/read from the Data1 (0x09) register. There is a second set of registers at 0x10 and 0x11.</w:t>
      </w:r>
    </w:p>
    <w:p w:rsidR="007509FD" w:rsidRDefault="007509FD" w:rsidP="009C7811">
      <w:pPr>
        <w:pStyle w:val="ListParagraph"/>
        <w:ind w:left="0"/>
      </w:pPr>
    </w:p>
    <w:p w:rsidR="007509FD" w:rsidRDefault="007509FD" w:rsidP="009C7811">
      <w:pPr>
        <w:pStyle w:val="ListParagraph"/>
        <w:ind w:left="0"/>
      </w:pPr>
    </w:p>
    <w:p w:rsidR="00CA1FC3" w:rsidRDefault="009C7811" w:rsidP="00CA1FC3">
      <w:pPr>
        <w:pStyle w:val="ListParagraph"/>
        <w:keepNext/>
        <w:ind w:left="0"/>
        <w:jc w:val="center"/>
      </w:pPr>
      <w:r>
        <w:rPr>
          <w:noProof/>
        </w:rPr>
        <w:drawing>
          <wp:inline distT="0" distB="0" distL="0" distR="0" wp14:anchorId="25EDBEDF" wp14:editId="2CC0424F">
            <wp:extent cx="5943600" cy="27908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811" w:rsidRDefault="00CA1FC3" w:rsidP="00CA1FC3">
      <w:pPr>
        <w:pStyle w:val="Caption"/>
        <w:jc w:val="center"/>
      </w:pPr>
      <w:r>
        <w:t xml:space="preserve">Figure </w:t>
      </w:r>
      <w:fldSimple w:instr=" SEQ Figure \* ARABIC ">
        <w:r w:rsidR="00011A01">
          <w:rPr>
            <w:noProof/>
          </w:rPr>
          <w:t>3</w:t>
        </w:r>
      </w:fldSimple>
      <w:r>
        <w:t xml:space="preserve">: Cmd and Data Register information (taken </w:t>
      </w:r>
      <w:proofErr w:type="gramStart"/>
      <w:r>
        <w:t xml:space="preserve">from </w:t>
      </w:r>
      <w:r>
        <w:rPr>
          <w:noProof/>
        </w:rPr>
        <w:t xml:space="preserve"> TPS</w:t>
      </w:r>
      <w:proofErr w:type="gramEnd"/>
      <w:r>
        <w:rPr>
          <w:noProof/>
        </w:rPr>
        <w:t>65987DDH TRM)</w:t>
      </w:r>
    </w:p>
    <w:p w:rsidR="007509FD" w:rsidRDefault="007509FD" w:rsidP="009C7811">
      <w:pPr>
        <w:pStyle w:val="ListParagraph"/>
        <w:ind w:left="0"/>
      </w:pPr>
    </w:p>
    <w:p w:rsidR="007509FD" w:rsidRDefault="007509FD" w:rsidP="009C7811">
      <w:pPr>
        <w:pStyle w:val="ListParagraph"/>
        <w:ind w:left="0"/>
      </w:pPr>
    </w:p>
    <w:p w:rsidR="009C7811" w:rsidRDefault="009C7811" w:rsidP="009C7811">
      <w:pPr>
        <w:pStyle w:val="ListParagraph"/>
        <w:ind w:left="0"/>
      </w:pPr>
    </w:p>
    <w:p w:rsidR="009C7811" w:rsidRDefault="00CA1FC3" w:rsidP="009C7811">
      <w:pPr>
        <w:pStyle w:val="ListParagraph"/>
        <w:ind w:left="0"/>
        <w:rPr>
          <w:b/>
          <w:sz w:val="28"/>
        </w:rPr>
      </w:pPr>
      <w:r>
        <w:rPr>
          <w:b/>
          <w:sz w:val="28"/>
        </w:rPr>
        <w:t xml:space="preserve">Basic </w:t>
      </w:r>
      <w:r w:rsidR="009C7811" w:rsidRPr="00CA1FC3">
        <w:rPr>
          <w:b/>
          <w:sz w:val="28"/>
        </w:rPr>
        <w:t>I2C command flow</w:t>
      </w:r>
      <w:r>
        <w:rPr>
          <w:b/>
          <w:sz w:val="28"/>
        </w:rPr>
        <w:t xml:space="preserve"> for ‘4CC’</w:t>
      </w:r>
    </w:p>
    <w:p w:rsidR="00CA1FC3" w:rsidRDefault="00CA1FC3" w:rsidP="009C7811">
      <w:pPr>
        <w:pStyle w:val="ListParagraph"/>
        <w:ind w:left="0"/>
      </w:pPr>
    </w:p>
    <w:p w:rsidR="00CA1FC3" w:rsidRDefault="00CA1FC3" w:rsidP="009C7811">
      <w:pPr>
        <w:pStyle w:val="ListParagraph"/>
        <w:ind w:left="0"/>
      </w:pPr>
      <w:r>
        <w:t>This section will provide the steps for using the ‘</w:t>
      </w:r>
      <w:r w:rsidR="00F32A6E">
        <w:t>4CC’ commands and an example using the ‘SWSr’ command.</w:t>
      </w:r>
    </w:p>
    <w:p w:rsidR="00F32A6E" w:rsidRDefault="00F32A6E" w:rsidP="009C7811">
      <w:pPr>
        <w:pStyle w:val="ListParagraph"/>
        <w:ind w:left="0"/>
      </w:pPr>
    </w:p>
    <w:p w:rsidR="00F32A6E" w:rsidRPr="00F32A6E" w:rsidRDefault="00F32A6E" w:rsidP="009C7811">
      <w:pPr>
        <w:pStyle w:val="ListParagraph"/>
        <w:ind w:left="0"/>
        <w:rPr>
          <w:b/>
        </w:rPr>
      </w:pPr>
      <w:r>
        <w:rPr>
          <w:b/>
        </w:rPr>
        <w:t>Steps</w:t>
      </w:r>
    </w:p>
    <w:p w:rsidR="009C7811" w:rsidRDefault="009C7811" w:rsidP="009C7811">
      <w:pPr>
        <w:pStyle w:val="ListParagraph"/>
        <w:ind w:left="0"/>
        <w:rPr>
          <w:b/>
        </w:rPr>
      </w:pPr>
    </w:p>
    <w:p w:rsidR="009C7811" w:rsidRDefault="009C7811" w:rsidP="009C7811">
      <w:pPr>
        <w:pStyle w:val="ListParagraph"/>
        <w:numPr>
          <w:ilvl w:val="0"/>
          <w:numId w:val="1"/>
        </w:numPr>
        <w:ind w:left="360"/>
      </w:pPr>
      <w:r>
        <w:t>Write Input Data (Input DataX) into the Data register (0x09). If the Input Data is “None”, nothing needs to be written to the register</w:t>
      </w:r>
      <w:r w:rsidR="00F32A6E">
        <w:t>.</w:t>
      </w:r>
    </w:p>
    <w:p w:rsidR="009C7811" w:rsidRDefault="009C7811" w:rsidP="009C7811">
      <w:pPr>
        <w:pStyle w:val="ListParagraph"/>
        <w:numPr>
          <w:ilvl w:val="0"/>
          <w:numId w:val="1"/>
        </w:numPr>
        <w:ind w:left="360"/>
      </w:pPr>
      <w:r>
        <w:t>Write the 4CC command to the Cmd1 (0x08) register</w:t>
      </w:r>
      <w:r w:rsidR="00F32A6E">
        <w:t>.</w:t>
      </w:r>
    </w:p>
    <w:p w:rsidR="009C7811" w:rsidRDefault="009C7811" w:rsidP="009C7811">
      <w:pPr>
        <w:pStyle w:val="ListParagraph"/>
        <w:numPr>
          <w:ilvl w:val="0"/>
          <w:numId w:val="1"/>
        </w:numPr>
        <w:ind w:left="360"/>
      </w:pPr>
      <w:r>
        <w:t>Read the Cmd1 register to determine if the command executed properly</w:t>
      </w:r>
      <w:r w:rsidR="00F32A6E">
        <w:t>. Continue to read the register un</w:t>
      </w:r>
      <w:r>
        <w:t>til you see “0x00” or “!CMD”.</w:t>
      </w:r>
    </w:p>
    <w:p w:rsidR="009C7811" w:rsidRDefault="009C7811" w:rsidP="009C7811">
      <w:pPr>
        <w:pStyle w:val="ListParagraph"/>
        <w:numPr>
          <w:ilvl w:val="1"/>
          <w:numId w:val="1"/>
        </w:numPr>
        <w:ind w:left="720"/>
      </w:pPr>
      <w:r>
        <w:t>If the register reads back the 4CC command you wrote in step 2, the command is still executing.</w:t>
      </w:r>
    </w:p>
    <w:p w:rsidR="009C7811" w:rsidRDefault="009C7811" w:rsidP="009C7811">
      <w:pPr>
        <w:pStyle w:val="ListParagraph"/>
        <w:numPr>
          <w:ilvl w:val="1"/>
          <w:numId w:val="1"/>
        </w:numPr>
        <w:ind w:left="720"/>
      </w:pPr>
      <w:r>
        <w:t>If the register reads “0x00”, the command executed successfully</w:t>
      </w:r>
    </w:p>
    <w:p w:rsidR="009C7811" w:rsidRDefault="009C7811" w:rsidP="009C7811">
      <w:pPr>
        <w:pStyle w:val="ListParagraph"/>
        <w:numPr>
          <w:ilvl w:val="1"/>
          <w:numId w:val="1"/>
        </w:numPr>
        <w:ind w:left="720"/>
      </w:pPr>
      <w:r>
        <w:t>If the register reads “!CMD”, the command was rejected</w:t>
      </w:r>
    </w:p>
    <w:p w:rsidR="00F32A6E" w:rsidRDefault="00F32A6E" w:rsidP="009C7811">
      <w:pPr>
        <w:pStyle w:val="ListParagraph"/>
        <w:numPr>
          <w:ilvl w:val="0"/>
          <w:numId w:val="1"/>
        </w:numPr>
        <w:ind w:left="360"/>
      </w:pPr>
      <w:r>
        <w:t xml:space="preserve">Read </w:t>
      </w:r>
      <w:r w:rsidR="009C7811">
        <w:t xml:space="preserve">Output Data (Output DataX) from Data1 (0x09) after the command executes successfully. </w:t>
      </w:r>
      <w:r>
        <w:t xml:space="preserve">If the Output Data is “None”, nothing needs to be read from the register. </w:t>
      </w:r>
    </w:p>
    <w:p w:rsidR="009C7811" w:rsidRDefault="00F32A6E" w:rsidP="00F32A6E">
      <w:pPr>
        <w:pStyle w:val="ListParagraph"/>
        <w:numPr>
          <w:ilvl w:val="1"/>
          <w:numId w:val="1"/>
        </w:numPr>
        <w:ind w:left="720"/>
      </w:pPr>
      <w:r>
        <w:t xml:space="preserve">In many cases, the Output Data will return a “Standard Task Code”. The table referenced within the </w:t>
      </w:r>
      <w:r w:rsidR="00786A91">
        <w:t xml:space="preserve">Output DataX </w:t>
      </w:r>
      <w:r>
        <w:t xml:space="preserve">section maps </w:t>
      </w:r>
      <w:r w:rsidR="00786A91">
        <w:t>the value read from the register to each case in Output DataX.</w:t>
      </w:r>
      <w:r w:rsidR="00011A01">
        <w:t xml:space="preserve"> There is an example that navigates this case below.</w:t>
      </w:r>
    </w:p>
    <w:p w:rsidR="009C7811" w:rsidRDefault="009C7811" w:rsidP="009C7811"/>
    <w:p w:rsidR="009C7811" w:rsidRDefault="009C7811" w:rsidP="009C7811"/>
    <w:p w:rsidR="009C7811" w:rsidRDefault="009C7811" w:rsidP="009C7811"/>
    <w:p w:rsidR="009C7811" w:rsidRDefault="009C7811" w:rsidP="009C7811"/>
    <w:p w:rsidR="009C7811" w:rsidRDefault="009C7811" w:rsidP="009C7811"/>
    <w:p w:rsidR="009C7811" w:rsidRPr="00FC324B" w:rsidRDefault="009C7811" w:rsidP="009C7811">
      <w:pPr>
        <w:rPr>
          <w:b/>
        </w:rPr>
      </w:pPr>
      <w:r w:rsidRPr="00FC324B">
        <w:rPr>
          <w:b/>
        </w:rPr>
        <w:t>Example with ‘SWSr’</w:t>
      </w:r>
    </w:p>
    <w:p w:rsidR="009C7811" w:rsidRDefault="009C7811" w:rsidP="009C7811"/>
    <w:p w:rsidR="009C7811" w:rsidRDefault="009C7811" w:rsidP="009C7811"/>
    <w:p w:rsidR="00786A91" w:rsidRDefault="00CA1FC3" w:rsidP="00786A91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6AE3F501" wp14:editId="463B1728">
            <wp:extent cx="5943600" cy="35464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811" w:rsidRDefault="00786A91" w:rsidP="00786A91">
      <w:pPr>
        <w:pStyle w:val="Caption"/>
        <w:jc w:val="center"/>
      </w:pPr>
      <w:r>
        <w:t xml:space="preserve">Figure </w:t>
      </w:r>
      <w:fldSimple w:instr=" SEQ Figure \* ARABIC ">
        <w:r w:rsidR="00011A01">
          <w:rPr>
            <w:noProof/>
          </w:rPr>
          <w:t>4</w:t>
        </w:r>
      </w:fldSimple>
      <w:r>
        <w:t>:</w:t>
      </w:r>
      <w:r>
        <w:t xml:space="preserve"> 4CC 'SWSr' Command table taken from TPS65987DDH TRM</w:t>
      </w:r>
    </w:p>
    <w:p w:rsidR="009C7811" w:rsidRDefault="009C7811" w:rsidP="009C7811"/>
    <w:p w:rsidR="009C7811" w:rsidRDefault="009C7811" w:rsidP="009C7811">
      <w:r>
        <w:t xml:space="preserve">1. </w:t>
      </w:r>
    </w:p>
    <w:p w:rsidR="009C7811" w:rsidRDefault="00F56081" w:rsidP="009C7811">
      <w:r>
        <w:t>Input DataX is “None”, so skip this step.</w:t>
      </w:r>
    </w:p>
    <w:p w:rsidR="009C7811" w:rsidRDefault="009C7811" w:rsidP="009C7811"/>
    <w:p w:rsidR="009C7811" w:rsidRDefault="009C7811" w:rsidP="009C7811">
      <w:r>
        <w:t>2.</w:t>
      </w:r>
    </w:p>
    <w:p w:rsidR="00F56081" w:rsidRDefault="00F56081" w:rsidP="009C7811">
      <w:r>
        <w:t>First, convert the 4CC Command to ASCII</w:t>
      </w:r>
    </w:p>
    <w:p w:rsidR="00F56081" w:rsidRDefault="00F56081" w:rsidP="009C7811">
      <w:r>
        <w:t xml:space="preserve">‘SWSr’ =&gt; </w:t>
      </w:r>
      <w:r w:rsidRPr="001538AC">
        <w:t>53 57 53 72</w:t>
      </w:r>
    </w:p>
    <w:p w:rsidR="00F56081" w:rsidRDefault="00F56081" w:rsidP="009C7811"/>
    <w:p w:rsidR="00F56081" w:rsidRDefault="00F56081" w:rsidP="009C7811">
      <w:r>
        <w:t>Next, register write “</w:t>
      </w:r>
      <w:r w:rsidRPr="001538AC">
        <w:t>53 57 53 72</w:t>
      </w:r>
      <w:r>
        <w:t>” the Cmd1 register at 0x08</w:t>
      </w:r>
    </w:p>
    <w:p w:rsidR="00F56081" w:rsidRDefault="00F56081" w:rsidP="009C7811"/>
    <w:p w:rsidR="00F56081" w:rsidRDefault="00F56081" w:rsidP="009C7811">
      <w:r>
        <w:t>When using the Aardvark in simple mode, the I2C command looks like this</w:t>
      </w:r>
    </w:p>
    <w:p w:rsidR="009C7811" w:rsidRDefault="009C7811" w:rsidP="009C7811">
      <w:r>
        <w:t xml:space="preserve">08 04 </w:t>
      </w:r>
      <w:r w:rsidRPr="001538AC">
        <w:t>53 57 53 72</w:t>
      </w:r>
    </w:p>
    <w:p w:rsidR="009C7811" w:rsidRDefault="009C7811" w:rsidP="009C7811"/>
    <w:p w:rsidR="009C7811" w:rsidRDefault="009C7811" w:rsidP="009C7811">
      <w:r>
        <w:t>08</w:t>
      </w:r>
      <w:r w:rsidR="00F56081">
        <w:t>:</w:t>
      </w:r>
      <w:r>
        <w:t xml:space="preserve"> Register</w:t>
      </w:r>
      <w:r w:rsidR="00F56081">
        <w:t xml:space="preserve"> being written to</w:t>
      </w:r>
    </w:p>
    <w:p w:rsidR="009C7811" w:rsidRDefault="009C7811" w:rsidP="009C7811">
      <w:r>
        <w:t>04</w:t>
      </w:r>
      <w:r w:rsidR="00F56081">
        <w:t>:</w:t>
      </w:r>
      <w:r>
        <w:t xml:space="preserve"> 4</w:t>
      </w:r>
      <w:r w:rsidR="00F56081">
        <w:t>-byte payload</w:t>
      </w:r>
      <w:r>
        <w:t xml:space="preserve"> to write</w:t>
      </w:r>
    </w:p>
    <w:p w:rsidR="009C7811" w:rsidRDefault="009C7811" w:rsidP="009C7811">
      <w:r>
        <w:t>53 57 53 72</w:t>
      </w:r>
      <w:r w:rsidR="00F56081">
        <w:t>:</w:t>
      </w:r>
      <w:r>
        <w:t xml:space="preserve"> Payload (‘SWSr’)</w:t>
      </w:r>
    </w:p>
    <w:p w:rsidR="009C7811" w:rsidRDefault="009C7811" w:rsidP="009C7811"/>
    <w:p w:rsidR="009C7811" w:rsidRDefault="009C7811" w:rsidP="009C7811">
      <w:r>
        <w:t>3.</w:t>
      </w:r>
    </w:p>
    <w:p w:rsidR="009C7811" w:rsidRDefault="00011A01" w:rsidP="00011A01">
      <w:r>
        <w:t>Read the Cmd1(0x08) register until you see 0x00</w:t>
      </w:r>
    </w:p>
    <w:p w:rsidR="009C7811" w:rsidRDefault="009C7811" w:rsidP="009C7811"/>
    <w:p w:rsidR="009C7811" w:rsidRDefault="009C7811" w:rsidP="009C7811">
      <w:r>
        <w:t>4.</w:t>
      </w:r>
    </w:p>
    <w:p w:rsidR="009C7811" w:rsidRDefault="009C7811" w:rsidP="009C7811">
      <w:r>
        <w:t>Read Register Data1 (0x10).</w:t>
      </w:r>
      <w:r w:rsidR="00011A01">
        <w:t xml:space="preserve"> </w:t>
      </w:r>
      <w:r>
        <w:t xml:space="preserve">Reference Output DataX </w:t>
      </w:r>
      <w:r w:rsidR="00011A01">
        <w:t xml:space="preserve">in the table </w:t>
      </w:r>
      <w:r>
        <w:t>for how many bytes need to be read</w:t>
      </w:r>
      <w:r w:rsidR="00011A01">
        <w:t>. In this case, there is only 1 byte of output data.</w:t>
      </w:r>
    </w:p>
    <w:p w:rsidR="009C7811" w:rsidRDefault="009C7811" w:rsidP="009C7811"/>
    <w:p w:rsidR="009C7811" w:rsidRDefault="009C7811" w:rsidP="009C7811"/>
    <w:p w:rsidR="009C7811" w:rsidRDefault="009C7811" w:rsidP="009C7811">
      <w:r>
        <w:lastRenderedPageBreak/>
        <w:t xml:space="preserve">Understanding the Output Data for ‘SWSr’ is a little confusing. For ‘SWSr’, you need to reference Table 4-1 to see what return codes correspond to what information. You read the code from table 4-1, and use the description in 4-1 to find what Output Data information is given. There is an example below. </w:t>
      </w:r>
    </w:p>
    <w:p w:rsidR="009C7811" w:rsidRDefault="009C7811" w:rsidP="009C7811"/>
    <w:p w:rsidR="00011A01" w:rsidRDefault="009C7811" w:rsidP="00011A01">
      <w:pPr>
        <w:keepNext/>
      </w:pPr>
      <w:r>
        <w:rPr>
          <w:noProof/>
        </w:rPr>
        <w:drawing>
          <wp:inline distT="0" distB="0" distL="0" distR="0" wp14:anchorId="621B4ABE" wp14:editId="4C0F38C2">
            <wp:extent cx="5943600" cy="222313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811" w:rsidRDefault="00011A01" w:rsidP="00011A01">
      <w:pPr>
        <w:pStyle w:val="Caption"/>
        <w:jc w:val="center"/>
      </w:pPr>
      <w:r>
        <w:t xml:space="preserve">Figure </w:t>
      </w:r>
      <w:fldSimple w:instr=" SEQ Figure \* ARABIC ">
        <w:r>
          <w:rPr>
            <w:noProof/>
          </w:rPr>
          <w:t>5</w:t>
        </w:r>
      </w:fldSimple>
      <w:r>
        <w:t>:</w:t>
      </w:r>
      <w:r w:rsidRPr="00011A01">
        <w:t xml:space="preserve"> </w:t>
      </w:r>
      <w:r>
        <w:t xml:space="preserve">4CC </w:t>
      </w:r>
      <w:r>
        <w:t xml:space="preserve">Standard Task Response </w:t>
      </w:r>
      <w:r>
        <w:t>table taken from TPS65987DDH TRM</w:t>
      </w:r>
    </w:p>
    <w:p w:rsidR="009C7811" w:rsidRDefault="009C7811" w:rsidP="009C7811"/>
    <w:p w:rsidR="009C7811" w:rsidRPr="0059420F" w:rsidRDefault="009C7811" w:rsidP="009C7811">
      <w:pPr>
        <w:rPr>
          <w:b/>
        </w:rPr>
      </w:pPr>
      <w:r w:rsidRPr="0059420F">
        <w:rPr>
          <w:b/>
        </w:rPr>
        <w:t>Example 1:</w:t>
      </w:r>
    </w:p>
    <w:p w:rsidR="009C7811" w:rsidRDefault="009C7811" w:rsidP="009C7811"/>
    <w:p w:rsidR="009C7811" w:rsidRDefault="009C7811" w:rsidP="009C7811">
      <w:r>
        <w:t xml:space="preserve">Step 4 returns 0x00, </w:t>
      </w:r>
    </w:p>
    <w:p w:rsidR="009C7811" w:rsidRDefault="009C7811" w:rsidP="009C7811">
      <w:r>
        <w:t>From table 4-1, the execution was successful.</w:t>
      </w:r>
    </w:p>
    <w:p w:rsidR="009C7811" w:rsidRDefault="009C7811" w:rsidP="009C7811"/>
    <w:p w:rsidR="009C7811" w:rsidRPr="0059420F" w:rsidRDefault="009C7811" w:rsidP="009C7811">
      <w:pPr>
        <w:rPr>
          <w:b/>
        </w:rPr>
      </w:pPr>
      <w:r w:rsidRPr="0059420F">
        <w:rPr>
          <w:b/>
        </w:rPr>
        <w:t xml:space="preserve">Example 2: </w:t>
      </w:r>
    </w:p>
    <w:p w:rsidR="009C7811" w:rsidRDefault="009C7811" w:rsidP="009C7811"/>
    <w:p w:rsidR="009C7811" w:rsidRDefault="009C7811" w:rsidP="009C7811">
      <w:r>
        <w:t>Step 4 reads 0x1</w:t>
      </w:r>
    </w:p>
    <w:p w:rsidR="009C7811" w:rsidRDefault="009C7811" w:rsidP="009C7811">
      <w:r>
        <w:t>From table 4-1, the task timed-out or aborted if an ‘ABRT’ Request was made</w:t>
      </w:r>
    </w:p>
    <w:p w:rsidR="009C7811" w:rsidRDefault="009C7811" w:rsidP="009C7811"/>
    <w:p w:rsidR="009C7811" w:rsidRDefault="009C7811" w:rsidP="009C7811">
      <w:r>
        <w:t>Let us assume there was no ‘ABRT’ Request, which means the task timed out.</w:t>
      </w:r>
    </w:p>
    <w:p w:rsidR="009C7811" w:rsidRDefault="009C7811" w:rsidP="009C7811">
      <w:r>
        <w:t>Going to the Output DataX information for the ‘SWSr’ command (</w:t>
      </w:r>
      <w:r w:rsidR="00E66DB0">
        <w:t>Figure 4</w:t>
      </w:r>
      <w:r>
        <w:t xml:space="preserve">), we see that </w:t>
      </w:r>
      <w:r w:rsidR="00E66DB0">
        <w:t>“</w:t>
      </w:r>
      <w:r>
        <w:t>The PR_Swap is Accepted but failed to complete per the PD spec</w:t>
      </w:r>
      <w:r w:rsidR="00E66DB0">
        <w:t>”</w:t>
      </w:r>
      <w:r>
        <w:t>.</w:t>
      </w:r>
    </w:p>
    <w:p w:rsidR="009C7811" w:rsidRDefault="009C7811" w:rsidP="009C7811"/>
    <w:p w:rsidR="009C7811" w:rsidRDefault="009C7811" w:rsidP="00E66DB0">
      <w:bookmarkStart w:id="0" w:name="_GoBack"/>
      <w:bookmarkEnd w:id="0"/>
    </w:p>
    <w:p w:rsidR="006D01A8" w:rsidRDefault="00E66DB0"/>
    <w:sectPr w:rsidR="006D0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C5214"/>
    <w:multiLevelType w:val="hybridMultilevel"/>
    <w:tmpl w:val="BECAFDB8"/>
    <w:lvl w:ilvl="0" w:tplc="B2088D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11"/>
    <w:rsid w:val="00011A01"/>
    <w:rsid w:val="000275CD"/>
    <w:rsid w:val="001B7DEF"/>
    <w:rsid w:val="006F6867"/>
    <w:rsid w:val="00723FD4"/>
    <w:rsid w:val="007509FD"/>
    <w:rsid w:val="00786A91"/>
    <w:rsid w:val="00885506"/>
    <w:rsid w:val="009C7811"/>
    <w:rsid w:val="00C429AD"/>
    <w:rsid w:val="00CA1FC3"/>
    <w:rsid w:val="00DF0043"/>
    <w:rsid w:val="00E66DB0"/>
    <w:rsid w:val="00F32A6E"/>
    <w:rsid w:val="00F56081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D3689"/>
  <w15:chartTrackingRefBased/>
  <w15:docId w15:val="{F87BEA25-8E1F-487E-A7CB-124BD19E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81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811"/>
    <w:pPr>
      <w:ind w:left="720"/>
    </w:pPr>
  </w:style>
  <w:style w:type="paragraph" w:styleId="Caption">
    <w:name w:val="caption"/>
    <w:basedOn w:val="Normal"/>
    <w:next w:val="Normal"/>
    <w:uiPriority w:val="35"/>
    <w:unhideWhenUsed/>
    <w:qFormat/>
    <w:rsid w:val="007509FD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Inc.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Lim, Chris</dc:creator>
  <cp:keywords/>
  <dc:description/>
  <cp:lastModifiedBy>Lim, Chris</cp:lastModifiedBy>
  <cp:revision>1</cp:revision>
  <dcterms:created xsi:type="dcterms:W3CDTF">2022-09-30T15:07:00Z</dcterms:created>
  <dcterms:modified xsi:type="dcterms:W3CDTF">2022-09-30T19:17:00Z</dcterms:modified>
</cp:coreProperties>
</file>