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58" w:rsidRDefault="00CF5558" w:rsidP="00CF5558">
      <w:pPr>
        <w:pStyle w:val="Heading1"/>
      </w:pPr>
      <w:r>
        <w:t>Constant Current / Constant Voltage (CI/CV) characteristic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CF5558" w:rsidTr="00B0512A">
        <w:tc>
          <w:tcPr>
            <w:tcW w:w="4621" w:type="dxa"/>
          </w:tcPr>
          <w:p w:rsidR="00CF5558" w:rsidRDefault="00CF5558" w:rsidP="00B0512A">
            <w:r>
              <w:object w:dxaOrig="11068" w:dyaOrig="62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125.25pt" o:ole="">
                  <v:imagedata r:id="rId5" o:title=""/>
                </v:shape>
                <o:OLEObject Type="Embed" ProgID="Visio.Drawing.11" ShapeID="_x0000_i1025" DrawAspect="Content" ObjectID="_1612941027" r:id="rId6"/>
              </w:object>
            </w:r>
          </w:p>
          <w:p w:rsidR="00CF5558" w:rsidRDefault="00CF5558" w:rsidP="00B0512A"/>
        </w:tc>
        <w:tc>
          <w:tcPr>
            <w:tcW w:w="4621" w:type="dxa"/>
          </w:tcPr>
          <w:p w:rsidR="00CF5558" w:rsidRDefault="00CF5558" w:rsidP="00B0512A">
            <w:r>
              <w:object w:dxaOrig="10610" w:dyaOrig="7049">
                <v:shape id="_x0000_i1026" type="#_x0000_t75" style="width:220.5pt;height:147pt" o:ole="">
                  <v:imagedata r:id="rId7" o:title=""/>
                </v:shape>
                <o:OLEObject Type="Embed" ProgID="Visio.Drawing.11" ShapeID="_x0000_i1026" DrawAspect="Content" ObjectID="_1612941028" r:id="rId8"/>
              </w:object>
            </w:r>
          </w:p>
        </w:tc>
      </w:tr>
    </w:tbl>
    <w:p w:rsidR="00CF5558" w:rsidRDefault="00CF5558" w:rsidP="00CF5558">
      <w:pPr>
        <w:pStyle w:val="Caption"/>
        <w:rPr>
          <w:lang w:val="en-US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CI/CV characteristic (Left). Simplified application schematic for CI/CV operation (Right)</w:t>
      </w:r>
    </w:p>
    <w:p w:rsidR="00CF5558" w:rsidRPr="00AE395E" w:rsidRDefault="00CF5558" w:rsidP="00CF5558">
      <w:r w:rsidRPr="00AE395E">
        <w:rPr>
          <w:lang w:val="en-US"/>
        </w:rPr>
        <w:t>The</w:t>
      </w:r>
      <w:r>
        <w:rPr>
          <w:lang w:val="en-US"/>
        </w:rPr>
        <w:t xml:space="preserve"> usual way to accomplish this is to use</w:t>
      </w:r>
      <w:r w:rsidRPr="00AE395E">
        <w:rPr>
          <w:lang w:val="en-US"/>
        </w:rPr>
        <w:t xml:space="preserve"> two error amplifiers, one compar</w:t>
      </w:r>
      <w:r>
        <w:rPr>
          <w:lang w:val="en-US"/>
        </w:rPr>
        <w:t>es</w:t>
      </w:r>
      <w:r w:rsidRPr="00AE395E">
        <w:rPr>
          <w:lang w:val="en-US"/>
        </w:rPr>
        <w:t xml:space="preserve"> the output current against the constant current regulation </w:t>
      </w:r>
      <w:proofErr w:type="spellStart"/>
      <w:r w:rsidRPr="00AE395E">
        <w:rPr>
          <w:lang w:val="en-US"/>
        </w:rPr>
        <w:t>setpoint</w:t>
      </w:r>
      <w:proofErr w:type="spellEnd"/>
      <w:r w:rsidRPr="00AE395E">
        <w:rPr>
          <w:lang w:val="en-US"/>
        </w:rPr>
        <w:t xml:space="preserve"> and the other compar</w:t>
      </w:r>
      <w:r>
        <w:rPr>
          <w:lang w:val="en-US"/>
        </w:rPr>
        <w:t>es</w:t>
      </w:r>
      <w:r w:rsidRPr="00AE395E">
        <w:rPr>
          <w:lang w:val="en-US"/>
        </w:rPr>
        <w:t xml:space="preserve"> the output voltage against the constant voltage regulation </w:t>
      </w:r>
      <w:proofErr w:type="spellStart"/>
      <w:r w:rsidRPr="00AE395E">
        <w:rPr>
          <w:lang w:val="en-US"/>
        </w:rPr>
        <w:t>setpoint</w:t>
      </w:r>
      <w:proofErr w:type="spellEnd"/>
      <w:r w:rsidRPr="00AE395E">
        <w:rPr>
          <w:lang w:val="en-US"/>
        </w:rPr>
        <w:t xml:space="preserve">. If the system is in CI mode, the voltage error amplifier is saturated high because </w:t>
      </w:r>
      <w:proofErr w:type="gramStart"/>
      <w:r w:rsidRPr="00AE395E">
        <w:rPr>
          <w:lang w:val="en-US"/>
        </w:rPr>
        <w:t>Vo</w:t>
      </w:r>
      <w:proofErr w:type="gramEnd"/>
      <w:r w:rsidRPr="00AE395E">
        <w:rPr>
          <w:lang w:val="en-US"/>
        </w:rPr>
        <w:t xml:space="preserve"> is below the voltage regulation </w:t>
      </w:r>
      <w:proofErr w:type="spellStart"/>
      <w:r w:rsidRPr="00AE395E">
        <w:rPr>
          <w:lang w:val="en-US"/>
        </w:rPr>
        <w:t>setpoint</w:t>
      </w:r>
      <w:proofErr w:type="spellEnd"/>
      <w:r w:rsidRPr="00AE395E">
        <w:rPr>
          <w:lang w:val="en-US"/>
        </w:rPr>
        <w:t xml:space="preserve">, if the system is in CV mode the current error amplifier saturates high because the current is below the current regulation </w:t>
      </w:r>
      <w:proofErr w:type="spellStart"/>
      <w:r w:rsidRPr="00AE395E">
        <w:rPr>
          <w:lang w:val="en-US"/>
        </w:rPr>
        <w:t>setpoint</w:t>
      </w:r>
      <w:proofErr w:type="spellEnd"/>
      <w:r w:rsidRPr="00AE395E">
        <w:rPr>
          <w:lang w:val="en-US"/>
        </w:rPr>
        <w:t xml:space="preserve">. The outputs from the two error amplifiers are diode </w:t>
      </w:r>
      <w:proofErr w:type="spellStart"/>
      <w:r w:rsidRPr="00AE395E">
        <w:rPr>
          <w:lang w:val="en-US"/>
        </w:rPr>
        <w:t>ored</w:t>
      </w:r>
      <w:proofErr w:type="spellEnd"/>
      <w:r w:rsidRPr="00AE395E">
        <w:rPr>
          <w:lang w:val="en-US"/>
        </w:rPr>
        <w:t xml:space="preserve"> and the lower of the two errors is fed into the controller. Note that the error amplifier in the UCC28951 is configured as a voltage follower and other than this it plays no part in the control loop. The on-board reference of the UCC28951</w:t>
      </w:r>
      <w:r>
        <w:rPr>
          <w:lang w:val="en-US"/>
        </w:rPr>
        <w:t xml:space="preserve"> may not be</w:t>
      </w:r>
      <w:r w:rsidRPr="00AE395E">
        <w:rPr>
          <w:lang w:val="en-US"/>
        </w:rPr>
        <w:t xml:space="preserve"> accurate enough for Li Ion battery charging in particular so an external LM4132 reference is used. </w:t>
      </w:r>
      <w:r>
        <w:rPr>
          <w:lang w:val="en-US"/>
        </w:rPr>
        <w:t xml:space="preserve">There is a reference design using this approach at </w:t>
      </w:r>
      <w:hyperlink r:id="rId9" w:history="1">
        <w:r w:rsidRPr="00E24A62">
          <w:rPr>
            <w:rStyle w:val="Hyperlink"/>
            <w:lang w:val="en-US"/>
          </w:rPr>
          <w:t>http://www.ti.com/tool/PMP9622</w:t>
        </w:r>
      </w:hyperlink>
      <w:r>
        <w:rPr>
          <w:lang w:val="en-US"/>
        </w:rPr>
        <w:t xml:space="preserve"> and more information in the design review at </w:t>
      </w:r>
      <w:hyperlink r:id="rId10" w:history="1">
        <w:r w:rsidRPr="00E24A62">
          <w:rPr>
            <w:rStyle w:val="Hyperlink"/>
            <w:lang w:val="en-US"/>
          </w:rPr>
          <w:t>https://www.ti.com/seclit/ml/slup348/slup348.pdf</w:t>
        </w:r>
      </w:hyperlink>
      <w:proofErr w:type="gramStart"/>
      <w:r>
        <w:rPr>
          <w:lang w:val="en-US"/>
        </w:rPr>
        <w:t xml:space="preserve"> </w:t>
      </w:r>
      <w:proofErr w:type="gramEnd"/>
      <w:r>
        <w:rPr>
          <w:lang w:val="en-US"/>
        </w:rPr>
        <w:t xml:space="preserve"> .</w:t>
      </w:r>
      <w:bookmarkStart w:id="0" w:name="_GoBack"/>
      <w:bookmarkEnd w:id="0"/>
    </w:p>
    <w:p w:rsidR="003756E0" w:rsidRDefault="003756E0"/>
    <w:sectPr w:rsidR="00375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58"/>
    <w:rsid w:val="003756E0"/>
    <w:rsid w:val="00CF5558"/>
    <w:rsid w:val="00F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58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  <w:style w:type="table" w:styleId="TableGrid">
    <w:name w:val="Table Grid"/>
    <w:basedOn w:val="TableNormal"/>
    <w:uiPriority w:val="59"/>
    <w:rsid w:val="00CF5558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558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F555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58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  <w:style w:type="table" w:styleId="TableGrid">
    <w:name w:val="Table Grid"/>
    <w:basedOn w:val="TableNormal"/>
    <w:uiPriority w:val="59"/>
    <w:rsid w:val="00CF5558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558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F555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ti.com/seclit/ml/slup348/slup34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.com/tool/PMP9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2019-02-28T08:58:00Z</dcterms:created>
  <dcterms:modified xsi:type="dcterms:W3CDTF">2019-03-01T10:24:00Z</dcterms:modified>
</cp:coreProperties>
</file>