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C65" w:rsidRPr="004C1E7D" w:rsidRDefault="006C0320" w:rsidP="006C0320">
      <w:pPr>
        <w:pStyle w:val="ListParagraph"/>
        <w:spacing w:after="0" w:line="360" w:lineRule="auto"/>
        <w:ind w:left="360"/>
        <w:jc w:val="center"/>
        <w:rPr>
          <w:rFonts w:cstheme="minorHAnsi"/>
          <w:b/>
          <w:color w:val="002060"/>
          <w:sz w:val="32"/>
          <w:szCs w:val="32"/>
        </w:rPr>
      </w:pPr>
      <w:r w:rsidRPr="004C1E7D">
        <w:rPr>
          <w:rFonts w:cstheme="minorHAnsi"/>
          <w:b/>
          <w:color w:val="002060"/>
          <w:sz w:val="32"/>
          <w:szCs w:val="32"/>
        </w:rPr>
        <w:t xml:space="preserve">Application Notes </w:t>
      </w:r>
    </w:p>
    <w:p w:rsidR="00D21E91" w:rsidRDefault="00B77FF2" w:rsidP="00D21E91">
      <w:pPr>
        <w:pStyle w:val="ListParagraph"/>
        <w:spacing w:after="0" w:line="360" w:lineRule="auto"/>
        <w:ind w:left="360"/>
        <w:jc w:val="center"/>
        <w:rPr>
          <w:rFonts w:cstheme="minorHAnsi"/>
          <w:b/>
          <w:color w:val="002060"/>
          <w:sz w:val="32"/>
          <w:szCs w:val="32"/>
        </w:rPr>
      </w:pPr>
      <w:r>
        <w:rPr>
          <w:rFonts w:cstheme="minorHAnsi"/>
          <w:b/>
          <w:color w:val="002060"/>
          <w:sz w:val="32"/>
          <w:szCs w:val="32"/>
        </w:rPr>
        <w:t xml:space="preserve">Using </w:t>
      </w:r>
      <w:r w:rsidR="006C0320" w:rsidRPr="004C1E7D">
        <w:rPr>
          <w:rFonts w:cstheme="minorHAnsi"/>
          <w:b/>
          <w:color w:val="002060"/>
          <w:sz w:val="32"/>
          <w:szCs w:val="32"/>
        </w:rPr>
        <w:t>TPS6594</w:t>
      </w:r>
      <w:r w:rsidR="004C1E7D" w:rsidRPr="004C1E7D">
        <w:rPr>
          <w:rFonts w:cstheme="minorHAnsi"/>
          <w:b/>
          <w:color w:val="002060"/>
          <w:sz w:val="32"/>
          <w:szCs w:val="32"/>
        </w:rPr>
        <w:t>x</w:t>
      </w:r>
      <w:r w:rsidR="004C1E7D">
        <w:rPr>
          <w:rFonts w:cstheme="minorHAnsi"/>
          <w:b/>
          <w:color w:val="002060"/>
          <w:sz w:val="32"/>
          <w:szCs w:val="32"/>
        </w:rPr>
        <w:t xml:space="preserve">EVM </w:t>
      </w:r>
      <w:r>
        <w:rPr>
          <w:rFonts w:cstheme="minorHAnsi"/>
          <w:b/>
          <w:color w:val="002060"/>
          <w:sz w:val="32"/>
          <w:szCs w:val="32"/>
        </w:rPr>
        <w:t xml:space="preserve">and GUI </w:t>
      </w:r>
      <w:r w:rsidR="00D21E91" w:rsidRPr="00D21E91">
        <w:rPr>
          <w:rFonts w:cstheme="minorHAnsi"/>
          <w:b/>
          <w:color w:val="002060"/>
          <w:sz w:val="32"/>
          <w:szCs w:val="32"/>
        </w:rPr>
        <w:t>for PMIC Programming</w:t>
      </w:r>
    </w:p>
    <w:p w:rsidR="006C0320" w:rsidRPr="00D21E91" w:rsidRDefault="00633584" w:rsidP="00D21E91">
      <w:pPr>
        <w:pStyle w:val="ListParagraph"/>
        <w:spacing w:after="0" w:line="360" w:lineRule="auto"/>
        <w:ind w:left="360"/>
        <w:jc w:val="center"/>
        <w:rPr>
          <w:rFonts w:cstheme="minorHAnsi"/>
          <w:b/>
          <w:color w:val="002060"/>
          <w:sz w:val="32"/>
          <w:szCs w:val="32"/>
        </w:rPr>
      </w:pPr>
      <w:r>
        <w:rPr>
          <w:rFonts w:cstheme="minorHAnsi"/>
          <w:b/>
          <w:color w:val="002060"/>
          <w:sz w:val="32"/>
          <w:szCs w:val="32"/>
        </w:rPr>
        <w:t>a</w:t>
      </w:r>
      <w:r w:rsidR="00D21E91">
        <w:rPr>
          <w:rFonts w:cstheme="minorHAnsi"/>
          <w:b/>
          <w:color w:val="002060"/>
          <w:sz w:val="32"/>
          <w:szCs w:val="32"/>
        </w:rPr>
        <w:t>nd Debug o</w:t>
      </w:r>
      <w:r w:rsidR="00D21E91" w:rsidRPr="00D21E91">
        <w:rPr>
          <w:rFonts w:cstheme="minorHAnsi"/>
          <w:b/>
          <w:color w:val="002060"/>
          <w:sz w:val="32"/>
          <w:szCs w:val="32"/>
        </w:rPr>
        <w:t>n Customers Application Board</w:t>
      </w:r>
    </w:p>
    <w:p w:rsidR="00E65AC1" w:rsidRPr="004C1E7D" w:rsidRDefault="00E65AC1" w:rsidP="006C0320">
      <w:pPr>
        <w:pStyle w:val="ListParagraph"/>
        <w:spacing w:after="0" w:line="360" w:lineRule="auto"/>
        <w:ind w:left="360"/>
        <w:jc w:val="center"/>
        <w:rPr>
          <w:rFonts w:cstheme="minorHAnsi"/>
          <w:b/>
          <w:color w:val="002060"/>
          <w:sz w:val="32"/>
          <w:szCs w:val="32"/>
        </w:rPr>
      </w:pPr>
    </w:p>
    <w:p w:rsidR="004C1E7D" w:rsidRDefault="000A7F23" w:rsidP="00B77FF2">
      <w:pPr>
        <w:pStyle w:val="ListParagraph"/>
        <w:numPr>
          <w:ilvl w:val="0"/>
          <w:numId w:val="1"/>
        </w:numPr>
        <w:spacing w:after="0" w:line="360" w:lineRule="auto"/>
        <w:rPr>
          <w:rFonts w:cstheme="minorHAnsi"/>
          <w:b/>
          <w:color w:val="002060"/>
        </w:rPr>
      </w:pPr>
      <w:r w:rsidRPr="004C1E7D">
        <w:rPr>
          <w:rFonts w:cstheme="minorHAnsi"/>
          <w:b/>
          <w:color w:val="002060"/>
        </w:rPr>
        <w:t xml:space="preserve"> </w:t>
      </w:r>
      <w:r w:rsidR="00B77FF2">
        <w:rPr>
          <w:rFonts w:cstheme="minorHAnsi"/>
          <w:b/>
          <w:color w:val="002060"/>
        </w:rPr>
        <w:t xml:space="preserve">Connecting </w:t>
      </w:r>
      <w:r w:rsidR="00B77FF2" w:rsidRPr="00B77FF2">
        <w:rPr>
          <w:rFonts w:cstheme="minorHAnsi"/>
          <w:b/>
          <w:color w:val="002060"/>
        </w:rPr>
        <w:t>TPS6594xEVM</w:t>
      </w:r>
      <w:r w:rsidR="00B77FF2">
        <w:rPr>
          <w:rFonts w:cstheme="minorHAnsi"/>
          <w:b/>
          <w:color w:val="002060"/>
        </w:rPr>
        <w:t xml:space="preserve"> I2C port to c</w:t>
      </w:r>
      <w:r w:rsidR="00B77FF2" w:rsidRPr="00B77FF2">
        <w:rPr>
          <w:rFonts w:cstheme="minorHAnsi"/>
          <w:b/>
          <w:color w:val="002060"/>
        </w:rPr>
        <w:t xml:space="preserve">ustomer </w:t>
      </w:r>
      <w:r w:rsidR="00B77FF2">
        <w:rPr>
          <w:rFonts w:cstheme="minorHAnsi"/>
          <w:b/>
          <w:color w:val="002060"/>
        </w:rPr>
        <w:t>b</w:t>
      </w:r>
      <w:r w:rsidR="00B77FF2" w:rsidRPr="00B77FF2">
        <w:rPr>
          <w:rFonts w:cstheme="minorHAnsi"/>
          <w:b/>
          <w:color w:val="002060"/>
        </w:rPr>
        <w:t>oard</w:t>
      </w:r>
      <w:r w:rsidR="004C1E7D">
        <w:rPr>
          <w:rFonts w:cstheme="minorHAnsi"/>
          <w:b/>
          <w:color w:val="002060"/>
        </w:rPr>
        <w:t>.</w:t>
      </w:r>
    </w:p>
    <w:p w:rsidR="006F19F3" w:rsidRDefault="00B77FF2" w:rsidP="00B77FF2">
      <w:pPr>
        <w:pStyle w:val="ListParagraph"/>
        <w:numPr>
          <w:ilvl w:val="1"/>
          <w:numId w:val="1"/>
        </w:numPr>
        <w:spacing w:after="0" w:line="360" w:lineRule="auto"/>
        <w:rPr>
          <w:rFonts w:cstheme="minorHAnsi"/>
          <w:color w:val="002060"/>
        </w:rPr>
      </w:pPr>
      <w:r>
        <w:rPr>
          <w:rFonts w:cstheme="minorHAnsi"/>
          <w:color w:val="002060"/>
        </w:rPr>
        <w:t>To disable the PMIC on the TPS6594xEVM</w:t>
      </w:r>
    </w:p>
    <w:p w:rsidR="00B77FF2" w:rsidRDefault="00B77FF2" w:rsidP="00B77FF2">
      <w:pPr>
        <w:pStyle w:val="ListParagraph"/>
        <w:spacing w:after="0" w:line="360" w:lineRule="auto"/>
        <w:ind w:left="882"/>
        <w:rPr>
          <w:rFonts w:cstheme="minorHAnsi"/>
          <w:color w:val="002060"/>
        </w:rPr>
      </w:pPr>
      <w:r>
        <w:rPr>
          <w:rFonts w:cstheme="minorHAnsi"/>
          <w:color w:val="002060"/>
        </w:rPr>
        <w:t xml:space="preserve">Pictures </w:t>
      </w:r>
      <w:r w:rsidR="00787324">
        <w:rPr>
          <w:rFonts w:cstheme="minorHAnsi"/>
          <w:color w:val="002060"/>
        </w:rPr>
        <w:t xml:space="preserve">below </w:t>
      </w:r>
      <w:r>
        <w:rPr>
          <w:rFonts w:cstheme="minorHAnsi"/>
          <w:color w:val="002060"/>
        </w:rPr>
        <w:t xml:space="preserve">show </w:t>
      </w:r>
      <w:r w:rsidR="00787324">
        <w:rPr>
          <w:rFonts w:cstheme="minorHAnsi"/>
          <w:color w:val="002060"/>
        </w:rPr>
        <w:t xml:space="preserve">how </w:t>
      </w:r>
      <w:r>
        <w:rPr>
          <w:rFonts w:cstheme="minorHAnsi"/>
          <w:color w:val="002060"/>
        </w:rPr>
        <w:t xml:space="preserve">to remove R58 from the bottom side of the EVM to </w:t>
      </w:r>
      <w:r w:rsidRPr="00B77FF2">
        <w:rPr>
          <w:rFonts w:cstheme="minorHAnsi"/>
          <w:color w:val="002060"/>
        </w:rPr>
        <w:t>disable the PMIC on the TPS6594xEVM</w:t>
      </w:r>
      <w:r w:rsidR="00787324">
        <w:rPr>
          <w:rFonts w:cstheme="minorHAnsi"/>
          <w:color w:val="002060"/>
        </w:rPr>
        <w:t>.</w:t>
      </w:r>
    </w:p>
    <w:p w:rsidR="00B77FF2" w:rsidRDefault="00B77FF2" w:rsidP="00B77FF2">
      <w:pPr>
        <w:spacing w:after="0" w:line="360" w:lineRule="auto"/>
        <w:rPr>
          <w:rFonts w:cstheme="minorHAnsi"/>
          <w:color w:val="002060"/>
        </w:rPr>
      </w:pPr>
      <w:r>
        <w:rPr>
          <w:noProof/>
        </w:rPr>
        <w:t xml:space="preserve">               </w:t>
      </w:r>
      <w:r>
        <w:rPr>
          <w:noProof/>
        </w:rPr>
        <w:drawing>
          <wp:inline distT="0" distB="0" distL="0" distR="0" wp14:anchorId="535D2C21" wp14:editId="28404C7B">
            <wp:extent cx="1505864" cy="7327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05909" cy="732733"/>
                    </a:xfrm>
                    <a:prstGeom prst="rect">
                      <a:avLst/>
                    </a:prstGeom>
                  </pic:spPr>
                </pic:pic>
              </a:graphicData>
            </a:graphic>
          </wp:inline>
        </w:drawing>
      </w:r>
      <w:r>
        <w:rPr>
          <w:noProof/>
        </w:rPr>
        <w:t xml:space="preserve">     </w:t>
      </w:r>
      <w:r>
        <w:rPr>
          <w:noProof/>
        </w:rPr>
        <w:drawing>
          <wp:inline distT="0" distB="0" distL="0" distR="0" wp14:anchorId="46097968" wp14:editId="2F6106ED">
            <wp:extent cx="1050593" cy="10367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52308" cy="1038481"/>
                    </a:xfrm>
                    <a:prstGeom prst="rect">
                      <a:avLst/>
                    </a:prstGeom>
                  </pic:spPr>
                </pic:pic>
              </a:graphicData>
            </a:graphic>
          </wp:inline>
        </w:drawing>
      </w:r>
    </w:p>
    <w:p w:rsidR="00B77FF2" w:rsidRPr="00B77FF2" w:rsidRDefault="00B77FF2" w:rsidP="00B77FF2">
      <w:pPr>
        <w:spacing w:after="0" w:line="360" w:lineRule="auto"/>
        <w:rPr>
          <w:rFonts w:cstheme="minorHAnsi"/>
          <w:color w:val="002060"/>
        </w:rPr>
      </w:pPr>
    </w:p>
    <w:p w:rsidR="00E65AC1" w:rsidRDefault="00787324" w:rsidP="00787324">
      <w:pPr>
        <w:pStyle w:val="ListParagraph"/>
        <w:numPr>
          <w:ilvl w:val="1"/>
          <w:numId w:val="1"/>
        </w:numPr>
        <w:spacing w:after="0" w:line="360" w:lineRule="auto"/>
        <w:rPr>
          <w:rFonts w:cstheme="minorHAnsi"/>
          <w:color w:val="002060"/>
        </w:rPr>
      </w:pPr>
      <w:r>
        <w:rPr>
          <w:rFonts w:cstheme="minorHAnsi"/>
          <w:color w:val="002060"/>
        </w:rPr>
        <w:t xml:space="preserve">Connect the EVM I2C port1 to </w:t>
      </w:r>
      <w:r w:rsidRPr="00787324">
        <w:rPr>
          <w:rFonts w:cstheme="minorHAnsi"/>
          <w:color w:val="002060"/>
        </w:rPr>
        <w:t>customer board.</w:t>
      </w:r>
    </w:p>
    <w:p w:rsidR="00787324" w:rsidRDefault="00787324" w:rsidP="00787324">
      <w:pPr>
        <w:pStyle w:val="ListParagraph"/>
        <w:spacing w:after="0" w:line="360" w:lineRule="auto"/>
        <w:ind w:left="882"/>
        <w:rPr>
          <w:rFonts w:cstheme="minorHAnsi"/>
          <w:color w:val="002060"/>
        </w:rPr>
      </w:pPr>
      <w:r w:rsidRPr="00787324">
        <w:rPr>
          <w:rFonts w:cstheme="minorHAnsi"/>
          <w:color w:val="002060"/>
        </w:rPr>
        <w:t xml:space="preserve">Pictures below show </w:t>
      </w:r>
      <w:r>
        <w:rPr>
          <w:rFonts w:cstheme="minorHAnsi"/>
          <w:color w:val="002060"/>
        </w:rPr>
        <w:t>where</w:t>
      </w:r>
      <w:r w:rsidRPr="00787324">
        <w:rPr>
          <w:rFonts w:cstheme="minorHAnsi"/>
          <w:color w:val="002060"/>
        </w:rPr>
        <w:t xml:space="preserve"> to</w:t>
      </w:r>
      <w:r>
        <w:rPr>
          <w:rFonts w:cstheme="minorHAnsi"/>
          <w:color w:val="002060"/>
        </w:rPr>
        <w:t xml:space="preserve"> wire the I2C port1 signals </w:t>
      </w:r>
      <w:r w:rsidRPr="00787324">
        <w:rPr>
          <w:rFonts w:cstheme="minorHAnsi"/>
          <w:color w:val="002060"/>
        </w:rPr>
        <w:t xml:space="preserve">to </w:t>
      </w:r>
      <w:r>
        <w:rPr>
          <w:rFonts w:cstheme="minorHAnsi"/>
          <w:color w:val="002060"/>
        </w:rPr>
        <w:t xml:space="preserve">connect to </w:t>
      </w:r>
      <w:r w:rsidRPr="00787324">
        <w:rPr>
          <w:rFonts w:cstheme="minorHAnsi"/>
          <w:color w:val="002060"/>
        </w:rPr>
        <w:t>customer board</w:t>
      </w:r>
      <w:r>
        <w:rPr>
          <w:rFonts w:cstheme="minorHAnsi"/>
          <w:color w:val="002060"/>
        </w:rPr>
        <w:t>.</w:t>
      </w:r>
    </w:p>
    <w:p w:rsidR="00787324" w:rsidRDefault="00787324" w:rsidP="00787324">
      <w:pPr>
        <w:pStyle w:val="ListParagraph"/>
        <w:spacing w:after="0" w:line="360" w:lineRule="auto"/>
        <w:ind w:left="882"/>
        <w:rPr>
          <w:rFonts w:cstheme="minorHAnsi"/>
          <w:color w:val="002060"/>
        </w:rPr>
      </w:pPr>
      <w:r>
        <w:rPr>
          <w:noProof/>
        </w:rPr>
        <w:drawing>
          <wp:inline distT="0" distB="0" distL="0" distR="0" wp14:anchorId="6E568EAA" wp14:editId="09AC00E7">
            <wp:extent cx="1307562" cy="1455621"/>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309709" cy="1458011"/>
                    </a:xfrm>
                    <a:prstGeom prst="rect">
                      <a:avLst/>
                    </a:prstGeom>
                  </pic:spPr>
                </pic:pic>
              </a:graphicData>
            </a:graphic>
          </wp:inline>
        </w:drawing>
      </w:r>
      <w:r w:rsidRPr="00787324">
        <w:rPr>
          <w:noProof/>
        </w:rPr>
        <w:t xml:space="preserve"> </w:t>
      </w:r>
      <w:r>
        <w:rPr>
          <w:noProof/>
        </w:rPr>
        <w:t xml:space="preserve">   </w:t>
      </w:r>
      <w:r>
        <w:rPr>
          <w:noProof/>
        </w:rPr>
        <w:drawing>
          <wp:inline distT="0" distB="0" distL="0" distR="0" wp14:anchorId="15B0375E" wp14:editId="1A1B983A">
            <wp:extent cx="649314" cy="14006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50506" cy="1403265"/>
                    </a:xfrm>
                    <a:prstGeom prst="rect">
                      <a:avLst/>
                    </a:prstGeom>
                  </pic:spPr>
                </pic:pic>
              </a:graphicData>
            </a:graphic>
          </wp:inline>
        </w:drawing>
      </w:r>
    </w:p>
    <w:p w:rsidR="00787324" w:rsidRDefault="00787324" w:rsidP="00787324">
      <w:pPr>
        <w:pStyle w:val="ListParagraph"/>
        <w:spacing w:after="0" w:line="360" w:lineRule="auto"/>
        <w:ind w:left="882"/>
        <w:rPr>
          <w:rFonts w:cstheme="minorHAnsi"/>
          <w:color w:val="002060"/>
        </w:rPr>
      </w:pPr>
    </w:p>
    <w:p w:rsidR="00262E3E" w:rsidRDefault="00787324" w:rsidP="00262E3E">
      <w:pPr>
        <w:pStyle w:val="ListParagraph"/>
        <w:numPr>
          <w:ilvl w:val="1"/>
          <w:numId w:val="1"/>
        </w:numPr>
        <w:spacing w:after="0" w:line="360" w:lineRule="auto"/>
        <w:rPr>
          <w:rFonts w:cstheme="minorHAnsi"/>
          <w:color w:val="002060"/>
        </w:rPr>
      </w:pPr>
      <w:r>
        <w:rPr>
          <w:rFonts w:cstheme="minorHAnsi"/>
          <w:color w:val="002060"/>
        </w:rPr>
        <w:t>Please make sure use same VIO level between EVM and customer board.</w:t>
      </w:r>
    </w:p>
    <w:p w:rsidR="00787324" w:rsidRDefault="00787324" w:rsidP="00787324">
      <w:pPr>
        <w:pStyle w:val="ListParagraph"/>
        <w:spacing w:after="0" w:line="360" w:lineRule="auto"/>
        <w:ind w:left="882"/>
        <w:rPr>
          <w:rFonts w:cstheme="minorHAnsi"/>
          <w:color w:val="002060"/>
        </w:rPr>
      </w:pPr>
      <w:r>
        <w:rPr>
          <w:rFonts w:cstheme="minorHAnsi"/>
          <w:color w:val="002060"/>
        </w:rPr>
        <w:t xml:space="preserve">Picture below gives the option to select different </w:t>
      </w:r>
      <w:r w:rsidRPr="00787324">
        <w:rPr>
          <w:rFonts w:cstheme="minorHAnsi"/>
          <w:color w:val="002060"/>
        </w:rPr>
        <w:t>VIO level</w:t>
      </w:r>
      <w:r>
        <w:rPr>
          <w:rFonts w:cstheme="minorHAnsi"/>
          <w:color w:val="002060"/>
        </w:rPr>
        <w:t xml:space="preserve"> on the </w:t>
      </w:r>
      <w:r w:rsidRPr="00787324">
        <w:rPr>
          <w:rFonts w:cstheme="minorHAnsi"/>
          <w:color w:val="002060"/>
        </w:rPr>
        <w:t>EVM</w:t>
      </w:r>
      <w:r>
        <w:rPr>
          <w:rFonts w:cstheme="minorHAnsi"/>
          <w:color w:val="002060"/>
        </w:rPr>
        <w:t>:</w:t>
      </w:r>
    </w:p>
    <w:p w:rsidR="00787324" w:rsidRDefault="00787324" w:rsidP="00787324">
      <w:pPr>
        <w:pStyle w:val="ListParagraph"/>
        <w:spacing w:after="0" w:line="360" w:lineRule="auto"/>
        <w:ind w:left="882"/>
        <w:rPr>
          <w:rFonts w:cstheme="minorHAnsi"/>
          <w:color w:val="002060"/>
        </w:rPr>
      </w:pPr>
      <w:r>
        <w:rPr>
          <w:noProof/>
        </w:rPr>
        <w:drawing>
          <wp:inline distT="0" distB="0" distL="0" distR="0" wp14:anchorId="65095DE4" wp14:editId="3363D3AA">
            <wp:extent cx="1138995" cy="947164"/>
            <wp:effectExtent l="0" t="0" r="444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139606" cy="947672"/>
                    </a:xfrm>
                    <a:prstGeom prst="rect">
                      <a:avLst/>
                    </a:prstGeom>
                  </pic:spPr>
                </pic:pic>
              </a:graphicData>
            </a:graphic>
          </wp:inline>
        </w:drawing>
      </w:r>
    </w:p>
    <w:p w:rsidR="00AA54D7" w:rsidRDefault="00AA54D7" w:rsidP="00AA54D7">
      <w:pPr>
        <w:pStyle w:val="ListParagraph"/>
        <w:spacing w:after="0" w:line="360" w:lineRule="auto"/>
        <w:ind w:left="360"/>
        <w:rPr>
          <w:rFonts w:cstheme="minorHAnsi"/>
          <w:b/>
          <w:color w:val="002060"/>
        </w:rPr>
      </w:pPr>
    </w:p>
    <w:p w:rsidR="005375B8" w:rsidRPr="005375B8" w:rsidRDefault="00787324" w:rsidP="00CD1C74">
      <w:pPr>
        <w:pStyle w:val="ListParagraph"/>
        <w:numPr>
          <w:ilvl w:val="0"/>
          <w:numId w:val="1"/>
        </w:numPr>
        <w:spacing w:after="0" w:line="360" w:lineRule="auto"/>
        <w:rPr>
          <w:rFonts w:cstheme="minorHAnsi"/>
          <w:b/>
          <w:color w:val="002060"/>
        </w:rPr>
      </w:pPr>
      <w:r>
        <w:rPr>
          <w:rFonts w:cstheme="minorHAnsi"/>
          <w:b/>
          <w:color w:val="002060"/>
        </w:rPr>
        <w:t xml:space="preserve">Launch </w:t>
      </w:r>
      <w:r w:rsidR="00CD1C74">
        <w:rPr>
          <w:rFonts w:cstheme="minorHAnsi"/>
          <w:b/>
          <w:color w:val="002060"/>
        </w:rPr>
        <w:t xml:space="preserve">the </w:t>
      </w:r>
      <w:r w:rsidR="00CD1C74" w:rsidRPr="00CD1C74">
        <w:rPr>
          <w:rFonts w:cstheme="minorHAnsi"/>
          <w:b/>
          <w:color w:val="002060"/>
        </w:rPr>
        <w:t>Scalable-PMICs-GUI 2.0 too</w:t>
      </w:r>
      <w:r w:rsidR="008D6E98">
        <w:rPr>
          <w:rFonts w:cstheme="minorHAnsi"/>
          <w:b/>
          <w:color w:val="002060"/>
        </w:rPr>
        <w:t>l to p</w:t>
      </w:r>
      <w:r w:rsidR="008D6E98" w:rsidRPr="008D6E98">
        <w:rPr>
          <w:rFonts w:cstheme="minorHAnsi"/>
          <w:b/>
          <w:color w:val="002060"/>
        </w:rPr>
        <w:t>rogram</w:t>
      </w:r>
      <w:r w:rsidR="008D6E98">
        <w:rPr>
          <w:rFonts w:cstheme="minorHAnsi"/>
          <w:b/>
          <w:color w:val="002060"/>
        </w:rPr>
        <w:t xml:space="preserve"> or access </w:t>
      </w:r>
      <w:r w:rsidR="00CD1C74" w:rsidRPr="00CD1C74">
        <w:rPr>
          <w:rFonts w:cstheme="minorHAnsi"/>
          <w:b/>
          <w:color w:val="002060"/>
        </w:rPr>
        <w:t>internal registers</w:t>
      </w:r>
      <w:r w:rsidR="008D6E98">
        <w:rPr>
          <w:rFonts w:cstheme="minorHAnsi"/>
          <w:b/>
          <w:color w:val="002060"/>
        </w:rPr>
        <w:t xml:space="preserve"> for debug</w:t>
      </w:r>
      <w:r w:rsidR="00E65AC1" w:rsidRPr="00E65AC1">
        <w:rPr>
          <w:rFonts w:cstheme="minorHAnsi"/>
          <w:b/>
          <w:color w:val="002060"/>
        </w:rPr>
        <w:t xml:space="preserve">.  </w:t>
      </w:r>
    </w:p>
    <w:p w:rsidR="00B0325A" w:rsidRPr="00CD1C74" w:rsidRDefault="00CD1C74" w:rsidP="00CD1C74">
      <w:pPr>
        <w:spacing w:after="0" w:line="360" w:lineRule="auto"/>
        <w:ind w:left="360"/>
        <w:rPr>
          <w:rFonts w:cstheme="minorHAnsi"/>
          <w:color w:val="002060"/>
        </w:rPr>
      </w:pPr>
      <w:r>
        <w:rPr>
          <w:rFonts w:cstheme="minorHAnsi"/>
          <w:color w:val="002060"/>
        </w:rPr>
        <w:t xml:space="preserve">  </w:t>
      </w:r>
      <w:r w:rsidRPr="00CD1C74">
        <w:rPr>
          <w:rFonts w:cstheme="minorHAnsi"/>
          <w:color w:val="002060"/>
        </w:rPr>
        <w:t xml:space="preserve">Please refer to </w:t>
      </w:r>
      <w:r>
        <w:rPr>
          <w:rFonts w:cstheme="minorHAnsi"/>
          <w:color w:val="002060"/>
        </w:rPr>
        <w:t xml:space="preserve">the </w:t>
      </w:r>
      <w:hyperlink r:id="rId14" w:history="1">
        <w:r w:rsidRPr="00CD1C74">
          <w:rPr>
            <w:rStyle w:val="Hyperlink"/>
            <w:rFonts w:cstheme="minorHAnsi"/>
          </w:rPr>
          <w:t xml:space="preserve">Scalable-PMICs-GUI 2.0 </w:t>
        </w:r>
        <w:r>
          <w:rPr>
            <w:rStyle w:val="Hyperlink"/>
            <w:rFonts w:cstheme="minorHAnsi"/>
          </w:rPr>
          <w:t>U</w:t>
        </w:r>
        <w:r w:rsidRPr="00CD1C74">
          <w:rPr>
            <w:rStyle w:val="Hyperlink"/>
            <w:rFonts w:cstheme="minorHAnsi"/>
          </w:rPr>
          <w:t xml:space="preserve">ser </w:t>
        </w:r>
        <w:r>
          <w:rPr>
            <w:rStyle w:val="Hyperlink"/>
            <w:rFonts w:cstheme="minorHAnsi"/>
          </w:rPr>
          <w:t>G</w:t>
        </w:r>
        <w:r w:rsidRPr="00CD1C74">
          <w:rPr>
            <w:rStyle w:val="Hyperlink"/>
            <w:rFonts w:cstheme="minorHAnsi"/>
          </w:rPr>
          <w:t>uide</w:t>
        </w:r>
      </w:hyperlink>
      <w:r w:rsidRPr="00CD1C74">
        <w:rPr>
          <w:rFonts w:cstheme="minorHAnsi"/>
          <w:color w:val="002060"/>
        </w:rPr>
        <w:t xml:space="preserve"> </w:t>
      </w:r>
      <w:r>
        <w:rPr>
          <w:rFonts w:cstheme="minorHAnsi"/>
          <w:color w:val="002060"/>
        </w:rPr>
        <w:t>for more details</w:t>
      </w:r>
      <w:r w:rsidRPr="00CD1C74">
        <w:t xml:space="preserve"> </w:t>
      </w:r>
      <w:r>
        <w:t xml:space="preserve">of </w:t>
      </w:r>
      <w:r w:rsidRPr="00CD1C74">
        <w:rPr>
          <w:rFonts w:cstheme="minorHAnsi"/>
          <w:color w:val="002060"/>
        </w:rPr>
        <w:t>check</w:t>
      </w:r>
      <w:r>
        <w:rPr>
          <w:rFonts w:cstheme="minorHAnsi"/>
          <w:color w:val="002060"/>
        </w:rPr>
        <w:t>ing</w:t>
      </w:r>
      <w:r w:rsidRPr="00CD1C74">
        <w:rPr>
          <w:rFonts w:cstheme="minorHAnsi"/>
          <w:color w:val="002060"/>
        </w:rPr>
        <w:t xml:space="preserve"> the internal registers</w:t>
      </w:r>
      <w:r>
        <w:rPr>
          <w:rFonts w:cstheme="minorHAnsi"/>
          <w:color w:val="002060"/>
        </w:rPr>
        <w:t xml:space="preserve"> for debug</w:t>
      </w:r>
      <w:r w:rsidRPr="00CD1C74">
        <w:rPr>
          <w:rFonts w:cstheme="minorHAnsi"/>
          <w:color w:val="002060"/>
        </w:rPr>
        <w:t xml:space="preserve">.  </w:t>
      </w:r>
      <w:bookmarkStart w:id="0" w:name="_GoBack"/>
      <w:bookmarkEnd w:id="0"/>
    </w:p>
    <w:p w:rsidR="00CD1C74" w:rsidRDefault="00CD1C74" w:rsidP="00185435">
      <w:pPr>
        <w:spacing w:after="0" w:line="360" w:lineRule="auto"/>
        <w:rPr>
          <w:rFonts w:cstheme="minorHAnsi"/>
          <w:b/>
          <w:color w:val="002060"/>
        </w:rPr>
      </w:pPr>
    </w:p>
    <w:p w:rsidR="00CD1C74" w:rsidRDefault="00CD1C74" w:rsidP="00185435">
      <w:pPr>
        <w:spacing w:after="0" w:line="360" w:lineRule="auto"/>
        <w:rPr>
          <w:rFonts w:cstheme="minorHAnsi"/>
          <w:b/>
          <w:color w:val="002060"/>
        </w:rPr>
      </w:pPr>
    </w:p>
    <w:p w:rsidR="00CD1C74" w:rsidRDefault="00CD1C74" w:rsidP="00185435">
      <w:pPr>
        <w:spacing w:after="0" w:line="360" w:lineRule="auto"/>
        <w:rPr>
          <w:rFonts w:cstheme="minorHAnsi"/>
          <w:b/>
          <w:color w:val="002060"/>
        </w:rPr>
      </w:pPr>
    </w:p>
    <w:p w:rsidR="00CD1C74" w:rsidRPr="004C1E7D" w:rsidRDefault="00CD1C74" w:rsidP="00185435">
      <w:pPr>
        <w:spacing w:after="0" w:line="360" w:lineRule="auto"/>
        <w:rPr>
          <w:rFonts w:cstheme="minorHAnsi"/>
          <w:b/>
          <w:color w:val="002060"/>
        </w:rPr>
      </w:pPr>
    </w:p>
    <w:p w:rsidR="00B0325A" w:rsidRPr="004C1E7D" w:rsidRDefault="00B0325A" w:rsidP="00B0325A">
      <w:pPr>
        <w:spacing w:after="0" w:line="360" w:lineRule="auto"/>
        <w:jc w:val="center"/>
        <w:rPr>
          <w:rFonts w:cstheme="minorHAnsi"/>
          <w:b/>
          <w:color w:val="002060"/>
          <w:sz w:val="20"/>
          <w:szCs w:val="20"/>
        </w:rPr>
      </w:pPr>
      <w:r w:rsidRPr="004C1E7D">
        <w:rPr>
          <w:rFonts w:cstheme="minorHAnsi"/>
          <w:b/>
          <w:color w:val="002060"/>
          <w:sz w:val="20"/>
          <w:szCs w:val="20"/>
        </w:rPr>
        <w:t>IMPORTANT NOTICE AND DISCLAIMER</w:t>
      </w:r>
    </w:p>
    <w:p w:rsidR="00B0325A" w:rsidRPr="004C1E7D" w:rsidRDefault="00B0325A" w:rsidP="00B0325A">
      <w:pPr>
        <w:spacing w:after="0" w:line="360" w:lineRule="auto"/>
        <w:rPr>
          <w:rFonts w:cstheme="minorHAnsi"/>
          <w:color w:val="002060"/>
          <w:sz w:val="20"/>
          <w:szCs w:val="20"/>
        </w:rPr>
      </w:pPr>
      <w:r w:rsidRPr="004C1E7D">
        <w:rPr>
          <w:rFonts w:cstheme="minorHAnsi"/>
          <w:color w:val="002060"/>
          <w:sz w:val="20"/>
          <w:szCs w:val="20"/>
        </w:rPr>
        <w:t>TI PROVIDES TECHNICAL AND RELIABILITY DATA (INCLUDING DATASHEETS), DESIGN RESOURCES (INCLUDING REFERENCE</w:t>
      </w:r>
    </w:p>
    <w:p w:rsidR="00B0325A" w:rsidRPr="004C1E7D" w:rsidRDefault="00B0325A" w:rsidP="00B0325A">
      <w:pPr>
        <w:spacing w:after="0" w:line="360" w:lineRule="auto"/>
        <w:rPr>
          <w:rFonts w:cstheme="minorHAnsi"/>
          <w:color w:val="002060"/>
          <w:sz w:val="20"/>
          <w:szCs w:val="20"/>
        </w:rPr>
      </w:pPr>
      <w:r w:rsidRPr="004C1E7D">
        <w:rPr>
          <w:rFonts w:cstheme="minorHAnsi"/>
          <w:color w:val="002060"/>
          <w:sz w:val="20"/>
          <w:szCs w:val="20"/>
        </w:rPr>
        <w:t>DESIGNS), APPLICATION OR OTHER DESIGN ADVICE, WEB TOOLS, SAFETY INFORMATION, AND OTHER RESOURCES “AS IS”</w:t>
      </w:r>
    </w:p>
    <w:p w:rsidR="00B0325A" w:rsidRPr="004C1E7D" w:rsidRDefault="00B0325A" w:rsidP="00B0325A">
      <w:pPr>
        <w:spacing w:after="0" w:line="360" w:lineRule="auto"/>
        <w:rPr>
          <w:rFonts w:cstheme="minorHAnsi"/>
          <w:color w:val="002060"/>
          <w:sz w:val="20"/>
          <w:szCs w:val="20"/>
        </w:rPr>
      </w:pPr>
      <w:r w:rsidRPr="004C1E7D">
        <w:rPr>
          <w:rFonts w:cstheme="minorHAnsi"/>
          <w:color w:val="002060"/>
          <w:sz w:val="20"/>
          <w:szCs w:val="20"/>
        </w:rPr>
        <w:t>AND WITH ALL FAULTS, AND DISCLAIMS ALL WARRANTIES, EXPRESS AND IMPLIED, INCLUDING WITHOUT LIMITATION ANY</w:t>
      </w:r>
      <w:r w:rsidR="00B51F79">
        <w:rPr>
          <w:rFonts w:cstheme="minorHAnsi"/>
          <w:color w:val="002060"/>
          <w:sz w:val="20"/>
          <w:szCs w:val="20"/>
        </w:rPr>
        <w:t xml:space="preserve"> </w:t>
      </w:r>
      <w:r w:rsidRPr="004C1E7D">
        <w:rPr>
          <w:rFonts w:cstheme="minorHAnsi"/>
          <w:color w:val="002060"/>
          <w:sz w:val="20"/>
          <w:szCs w:val="20"/>
        </w:rPr>
        <w:t>IMPLIED WARRANTIES OF MERCHANTABILITY, FITNESS FOR A PARTICULAR PURPOSE OR NON-INFRINGEMENT OF THIRD</w:t>
      </w:r>
      <w:r w:rsidR="00B51F79">
        <w:rPr>
          <w:rFonts w:cstheme="minorHAnsi"/>
          <w:color w:val="002060"/>
          <w:sz w:val="20"/>
          <w:szCs w:val="20"/>
        </w:rPr>
        <w:t xml:space="preserve"> </w:t>
      </w:r>
      <w:r w:rsidRPr="004C1E7D">
        <w:rPr>
          <w:rFonts w:cstheme="minorHAnsi"/>
          <w:color w:val="002060"/>
          <w:sz w:val="20"/>
          <w:szCs w:val="20"/>
        </w:rPr>
        <w:t>PARTY INTELLECTUAL PROPERTY RIGHTS.</w:t>
      </w:r>
    </w:p>
    <w:p w:rsidR="00B0325A" w:rsidRPr="004C1E7D" w:rsidRDefault="00B0325A" w:rsidP="00B0325A">
      <w:pPr>
        <w:spacing w:after="0" w:line="360" w:lineRule="auto"/>
        <w:rPr>
          <w:rFonts w:cstheme="minorHAnsi"/>
          <w:color w:val="002060"/>
          <w:sz w:val="20"/>
          <w:szCs w:val="20"/>
        </w:rPr>
      </w:pPr>
      <w:r w:rsidRPr="004C1E7D">
        <w:rPr>
          <w:rFonts w:cstheme="minorHAnsi"/>
          <w:color w:val="002060"/>
          <w:sz w:val="20"/>
          <w:szCs w:val="20"/>
        </w:rPr>
        <w:t>These resources are intended for skilled developers designing with TI products. You are solely responsible for (1) selecting the appropriate TI products for your application, (2) designing, validating and testing your application, and (3) ensuring your application meets applicable standards, and any other safety, security, or other requirements. These resources are subject to change without notice. TI grants you permission to use these resources only for development of an application that uses the TI products described in the resource. Other reproduction and display of these resources is prohibited. No license is granted to any other TI intellectual property right or to any third party intellectual property right. TI disclaims responsibility for, and you will fully indemnify TI and its representatives against, any claims, damages, costs, losses, and liabilities arising out of your use of these resources. TI’s products are provided subject to TI’s Terms of Sale (www.ti.com/legal/termsofsale.html) or other applicable terms available either on ti.com or provided in conjunction with such TI products. TI’s provision of these resources does not expand or otherwise alter TI’s applicable warranties or warranty disclaimers for TI products.</w:t>
      </w:r>
    </w:p>
    <w:p w:rsidR="00B0325A" w:rsidRPr="004C1E7D" w:rsidRDefault="00B0325A" w:rsidP="00B0325A">
      <w:pPr>
        <w:spacing w:after="0" w:line="360" w:lineRule="auto"/>
        <w:rPr>
          <w:rFonts w:cstheme="minorHAnsi"/>
          <w:color w:val="002060"/>
          <w:sz w:val="20"/>
          <w:szCs w:val="20"/>
        </w:rPr>
      </w:pPr>
    </w:p>
    <w:p w:rsidR="00B0325A" w:rsidRPr="004C1E7D" w:rsidRDefault="00B0325A" w:rsidP="00B0325A">
      <w:pPr>
        <w:spacing w:after="0" w:line="360" w:lineRule="auto"/>
        <w:jc w:val="center"/>
        <w:rPr>
          <w:rFonts w:cstheme="minorHAnsi"/>
          <w:color w:val="002060"/>
          <w:sz w:val="20"/>
          <w:szCs w:val="20"/>
        </w:rPr>
      </w:pPr>
      <w:r w:rsidRPr="004C1E7D">
        <w:rPr>
          <w:rFonts w:cstheme="minorHAnsi"/>
          <w:color w:val="002060"/>
          <w:sz w:val="20"/>
          <w:szCs w:val="20"/>
        </w:rPr>
        <w:t>Mailing Address: Texas Instruments, Post Office Box 655303, Dallas, Texas 75265</w:t>
      </w:r>
    </w:p>
    <w:p w:rsidR="00B0325A" w:rsidRPr="004C1E7D" w:rsidRDefault="00B0325A" w:rsidP="00B0325A">
      <w:pPr>
        <w:spacing w:after="0" w:line="360" w:lineRule="auto"/>
        <w:jc w:val="center"/>
        <w:rPr>
          <w:rFonts w:cstheme="minorHAnsi"/>
          <w:b/>
          <w:color w:val="002060"/>
          <w:sz w:val="20"/>
          <w:szCs w:val="20"/>
        </w:rPr>
      </w:pPr>
      <w:r w:rsidRPr="004C1E7D">
        <w:rPr>
          <w:rFonts w:cstheme="minorHAnsi"/>
          <w:color w:val="002060"/>
          <w:sz w:val="20"/>
          <w:szCs w:val="20"/>
        </w:rPr>
        <w:t>Copyright © 2019, Texas Instruments Incorporated</w:t>
      </w:r>
    </w:p>
    <w:sectPr w:rsidR="00B0325A" w:rsidRPr="004C1E7D" w:rsidSect="00B51F79">
      <w:pgSz w:w="12240" w:h="15840"/>
      <w:pgMar w:top="990" w:right="90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9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A4679F"/>
    <w:multiLevelType w:val="hybridMultilevel"/>
    <w:tmpl w:val="2FEE2014"/>
    <w:lvl w:ilvl="0" w:tplc="04090003">
      <w:start w:val="1"/>
      <w:numFmt w:val="bullet"/>
      <w:lvlText w:val="o"/>
      <w:lvlJc w:val="left"/>
      <w:pPr>
        <w:ind w:left="1080" w:hanging="360"/>
      </w:pPr>
      <w:rPr>
        <w:rFonts w:ascii="Courier New" w:hAnsi="Courier New" w:cs="Courier New"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685EAB"/>
    <w:multiLevelType w:val="hybridMultilevel"/>
    <w:tmpl w:val="3766CAF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BF5A34"/>
    <w:multiLevelType w:val="hybridMultilevel"/>
    <w:tmpl w:val="9E7A5640"/>
    <w:lvl w:ilvl="0" w:tplc="04090003">
      <w:start w:val="1"/>
      <w:numFmt w:val="bullet"/>
      <w:lvlText w:val="o"/>
      <w:lvlJc w:val="left"/>
      <w:pPr>
        <w:ind w:left="1080" w:hanging="360"/>
      </w:pPr>
      <w:rPr>
        <w:rFonts w:ascii="Courier New" w:hAnsi="Courier New" w:cs="Courier New"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05440F"/>
    <w:multiLevelType w:val="hybridMultilevel"/>
    <w:tmpl w:val="88D4CC16"/>
    <w:lvl w:ilvl="0" w:tplc="04090003">
      <w:start w:val="1"/>
      <w:numFmt w:val="bullet"/>
      <w:lvlText w:val="o"/>
      <w:lvlJc w:val="left"/>
      <w:pPr>
        <w:ind w:left="1080" w:hanging="360"/>
      </w:pPr>
      <w:rPr>
        <w:rFonts w:ascii="Courier New" w:hAnsi="Courier New" w:cs="Courier New"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102E3B"/>
    <w:multiLevelType w:val="hybridMultilevel"/>
    <w:tmpl w:val="849E2B80"/>
    <w:lvl w:ilvl="0" w:tplc="04090011">
      <w:start w:val="1"/>
      <w:numFmt w:val="decimal"/>
      <w:lvlText w:val="%1)"/>
      <w:lvlJc w:val="left"/>
      <w:pPr>
        <w:ind w:left="72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2572EB5"/>
    <w:multiLevelType w:val="hybridMultilevel"/>
    <w:tmpl w:val="040809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C1C44"/>
    <w:multiLevelType w:val="hybridMultilevel"/>
    <w:tmpl w:val="153E6BD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9801E4"/>
    <w:multiLevelType w:val="multilevel"/>
    <w:tmpl w:val="9C5636CE"/>
    <w:lvl w:ilvl="0">
      <w:start w:val="1"/>
      <w:numFmt w:val="decimal"/>
      <w:lvlText w:val="%1."/>
      <w:lvlJc w:val="left"/>
      <w:pPr>
        <w:ind w:left="360" w:hanging="360"/>
      </w:pPr>
    </w:lvl>
    <w:lvl w:ilvl="1">
      <w:start w:val="1"/>
      <w:numFmt w:val="decimal"/>
      <w:lvlText w:val="%1.%2."/>
      <w:lvlJc w:val="left"/>
      <w:pPr>
        <w:ind w:left="88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9761302"/>
    <w:multiLevelType w:val="hybridMultilevel"/>
    <w:tmpl w:val="DC789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0AC269E"/>
    <w:multiLevelType w:val="multilevel"/>
    <w:tmpl w:val="9C5636CE"/>
    <w:lvl w:ilvl="0">
      <w:start w:val="1"/>
      <w:numFmt w:val="decimal"/>
      <w:lvlText w:val="%1."/>
      <w:lvlJc w:val="left"/>
      <w:pPr>
        <w:ind w:left="360" w:hanging="360"/>
      </w:pPr>
    </w:lvl>
    <w:lvl w:ilvl="1">
      <w:start w:val="1"/>
      <w:numFmt w:val="decimal"/>
      <w:lvlText w:val="%1.%2."/>
      <w:lvlJc w:val="left"/>
      <w:pPr>
        <w:ind w:left="88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85D4008"/>
    <w:multiLevelType w:val="hybridMultilevel"/>
    <w:tmpl w:val="50EC065A"/>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12" w15:restartNumberingAfterBreak="0">
    <w:nsid w:val="5C917E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E230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8695138"/>
    <w:multiLevelType w:val="hybridMultilevel"/>
    <w:tmpl w:val="F254436E"/>
    <w:lvl w:ilvl="0" w:tplc="04090003">
      <w:start w:val="1"/>
      <w:numFmt w:val="bullet"/>
      <w:lvlText w:val="o"/>
      <w:lvlJc w:val="left"/>
      <w:pPr>
        <w:ind w:left="1226" w:hanging="360"/>
      </w:pPr>
      <w:rPr>
        <w:rFonts w:ascii="Courier New" w:hAnsi="Courier New" w:cs="Courier New" w:hint="default"/>
      </w:rPr>
    </w:lvl>
    <w:lvl w:ilvl="1" w:tplc="777C52B6">
      <w:numFmt w:val="bullet"/>
      <w:lvlText w:val="•"/>
      <w:lvlJc w:val="left"/>
      <w:pPr>
        <w:ind w:left="1946" w:hanging="360"/>
      </w:pPr>
      <w:rPr>
        <w:rFonts w:ascii="Calibri" w:eastAsiaTheme="minorEastAsia" w:hAnsi="Calibri" w:cstheme="minorBidi" w:hint="default"/>
      </w:rPr>
    </w:lvl>
    <w:lvl w:ilvl="2" w:tplc="04090005" w:tentative="1">
      <w:start w:val="1"/>
      <w:numFmt w:val="bullet"/>
      <w:lvlText w:val=""/>
      <w:lvlJc w:val="left"/>
      <w:pPr>
        <w:ind w:left="2666" w:hanging="360"/>
      </w:pPr>
      <w:rPr>
        <w:rFonts w:ascii="Wingdings" w:hAnsi="Wingdings" w:hint="default"/>
      </w:rPr>
    </w:lvl>
    <w:lvl w:ilvl="3" w:tplc="04090001" w:tentative="1">
      <w:start w:val="1"/>
      <w:numFmt w:val="bullet"/>
      <w:lvlText w:val=""/>
      <w:lvlJc w:val="left"/>
      <w:pPr>
        <w:ind w:left="3386" w:hanging="360"/>
      </w:pPr>
      <w:rPr>
        <w:rFonts w:ascii="Symbol" w:hAnsi="Symbol" w:hint="default"/>
      </w:rPr>
    </w:lvl>
    <w:lvl w:ilvl="4" w:tplc="04090003" w:tentative="1">
      <w:start w:val="1"/>
      <w:numFmt w:val="bullet"/>
      <w:lvlText w:val="o"/>
      <w:lvlJc w:val="left"/>
      <w:pPr>
        <w:ind w:left="4106" w:hanging="360"/>
      </w:pPr>
      <w:rPr>
        <w:rFonts w:ascii="Courier New" w:hAnsi="Courier New" w:cs="Courier New" w:hint="default"/>
      </w:rPr>
    </w:lvl>
    <w:lvl w:ilvl="5" w:tplc="04090005" w:tentative="1">
      <w:start w:val="1"/>
      <w:numFmt w:val="bullet"/>
      <w:lvlText w:val=""/>
      <w:lvlJc w:val="left"/>
      <w:pPr>
        <w:ind w:left="4826" w:hanging="360"/>
      </w:pPr>
      <w:rPr>
        <w:rFonts w:ascii="Wingdings" w:hAnsi="Wingdings" w:hint="default"/>
      </w:rPr>
    </w:lvl>
    <w:lvl w:ilvl="6" w:tplc="04090001" w:tentative="1">
      <w:start w:val="1"/>
      <w:numFmt w:val="bullet"/>
      <w:lvlText w:val=""/>
      <w:lvlJc w:val="left"/>
      <w:pPr>
        <w:ind w:left="5546" w:hanging="360"/>
      </w:pPr>
      <w:rPr>
        <w:rFonts w:ascii="Symbol" w:hAnsi="Symbol" w:hint="default"/>
      </w:rPr>
    </w:lvl>
    <w:lvl w:ilvl="7" w:tplc="04090003" w:tentative="1">
      <w:start w:val="1"/>
      <w:numFmt w:val="bullet"/>
      <w:lvlText w:val="o"/>
      <w:lvlJc w:val="left"/>
      <w:pPr>
        <w:ind w:left="6266" w:hanging="360"/>
      </w:pPr>
      <w:rPr>
        <w:rFonts w:ascii="Courier New" w:hAnsi="Courier New" w:cs="Courier New" w:hint="default"/>
      </w:rPr>
    </w:lvl>
    <w:lvl w:ilvl="8" w:tplc="04090005" w:tentative="1">
      <w:start w:val="1"/>
      <w:numFmt w:val="bullet"/>
      <w:lvlText w:val=""/>
      <w:lvlJc w:val="left"/>
      <w:pPr>
        <w:ind w:left="6986" w:hanging="360"/>
      </w:pPr>
      <w:rPr>
        <w:rFonts w:ascii="Wingdings" w:hAnsi="Wingdings" w:hint="default"/>
      </w:rPr>
    </w:lvl>
  </w:abstractNum>
  <w:abstractNum w:abstractNumId="15" w15:restartNumberingAfterBreak="0">
    <w:nsid w:val="6F3875EF"/>
    <w:multiLevelType w:val="hybridMultilevel"/>
    <w:tmpl w:val="622A503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BCC0173"/>
    <w:multiLevelType w:val="hybridMultilevel"/>
    <w:tmpl w:val="870AFE8C"/>
    <w:lvl w:ilvl="0" w:tplc="04090003">
      <w:start w:val="1"/>
      <w:numFmt w:val="bullet"/>
      <w:lvlText w:val="o"/>
      <w:lvlJc w:val="left"/>
      <w:pPr>
        <w:ind w:left="1080" w:hanging="360"/>
      </w:pPr>
      <w:rPr>
        <w:rFonts w:ascii="Courier New" w:hAnsi="Courier New" w:cs="Courier New"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9"/>
  </w:num>
  <w:num w:numId="3">
    <w:abstractNumId w:val="14"/>
  </w:num>
  <w:num w:numId="4">
    <w:abstractNumId w:val="7"/>
  </w:num>
  <w:num w:numId="5">
    <w:abstractNumId w:val="1"/>
  </w:num>
  <w:num w:numId="6">
    <w:abstractNumId w:val="4"/>
  </w:num>
  <w:num w:numId="7">
    <w:abstractNumId w:val="16"/>
  </w:num>
  <w:num w:numId="8">
    <w:abstractNumId w:val="2"/>
  </w:num>
  <w:num w:numId="9">
    <w:abstractNumId w:val="15"/>
  </w:num>
  <w:num w:numId="10">
    <w:abstractNumId w:val="6"/>
  </w:num>
  <w:num w:numId="11">
    <w:abstractNumId w:val="3"/>
  </w:num>
  <w:num w:numId="12">
    <w:abstractNumId w:val="5"/>
  </w:num>
  <w:num w:numId="13">
    <w:abstractNumId w:val="11"/>
  </w:num>
  <w:num w:numId="14">
    <w:abstractNumId w:val="12"/>
  </w:num>
  <w:num w:numId="15">
    <w:abstractNumId w:val="13"/>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F23"/>
    <w:rsid w:val="000058E2"/>
    <w:rsid w:val="00012560"/>
    <w:rsid w:val="0002445D"/>
    <w:rsid w:val="00040300"/>
    <w:rsid w:val="000476D2"/>
    <w:rsid w:val="000972B0"/>
    <w:rsid w:val="000A0C65"/>
    <w:rsid w:val="000A7F23"/>
    <w:rsid w:val="00102A9B"/>
    <w:rsid w:val="00111834"/>
    <w:rsid w:val="001162D9"/>
    <w:rsid w:val="00147494"/>
    <w:rsid w:val="0015256A"/>
    <w:rsid w:val="00161401"/>
    <w:rsid w:val="00185097"/>
    <w:rsid w:val="00185435"/>
    <w:rsid w:val="001F100F"/>
    <w:rsid w:val="001F48C6"/>
    <w:rsid w:val="002068D4"/>
    <w:rsid w:val="00262E3E"/>
    <w:rsid w:val="002E1CF0"/>
    <w:rsid w:val="003248CC"/>
    <w:rsid w:val="00342D71"/>
    <w:rsid w:val="0035101D"/>
    <w:rsid w:val="003550F6"/>
    <w:rsid w:val="00357F7F"/>
    <w:rsid w:val="003603E9"/>
    <w:rsid w:val="00382FC4"/>
    <w:rsid w:val="003A0430"/>
    <w:rsid w:val="003A0D35"/>
    <w:rsid w:val="003B7C54"/>
    <w:rsid w:val="003F516C"/>
    <w:rsid w:val="004C1E7D"/>
    <w:rsid w:val="004D52A8"/>
    <w:rsid w:val="00512E74"/>
    <w:rsid w:val="005375B8"/>
    <w:rsid w:val="0054497F"/>
    <w:rsid w:val="00546794"/>
    <w:rsid w:val="00564DC2"/>
    <w:rsid w:val="005C5290"/>
    <w:rsid w:val="00620FB0"/>
    <w:rsid w:val="00626CC2"/>
    <w:rsid w:val="00633584"/>
    <w:rsid w:val="006438F1"/>
    <w:rsid w:val="00661DFC"/>
    <w:rsid w:val="00683842"/>
    <w:rsid w:val="006A3CD2"/>
    <w:rsid w:val="006C0320"/>
    <w:rsid w:val="006F19F3"/>
    <w:rsid w:val="00712223"/>
    <w:rsid w:val="00721308"/>
    <w:rsid w:val="00761B6C"/>
    <w:rsid w:val="00787324"/>
    <w:rsid w:val="007D5163"/>
    <w:rsid w:val="007D5F53"/>
    <w:rsid w:val="008225B3"/>
    <w:rsid w:val="008473E3"/>
    <w:rsid w:val="00873864"/>
    <w:rsid w:val="0089672E"/>
    <w:rsid w:val="008B0344"/>
    <w:rsid w:val="008C0D92"/>
    <w:rsid w:val="008D6E98"/>
    <w:rsid w:val="00912064"/>
    <w:rsid w:val="00996C51"/>
    <w:rsid w:val="009B29A3"/>
    <w:rsid w:val="009C0F94"/>
    <w:rsid w:val="009E5589"/>
    <w:rsid w:val="009F1424"/>
    <w:rsid w:val="00A02073"/>
    <w:rsid w:val="00A54AA4"/>
    <w:rsid w:val="00A9702D"/>
    <w:rsid w:val="00AA54D7"/>
    <w:rsid w:val="00AC69D8"/>
    <w:rsid w:val="00AE71D3"/>
    <w:rsid w:val="00B0325A"/>
    <w:rsid w:val="00B51F79"/>
    <w:rsid w:val="00B77FF2"/>
    <w:rsid w:val="00BD32D2"/>
    <w:rsid w:val="00BE564C"/>
    <w:rsid w:val="00BE6B22"/>
    <w:rsid w:val="00BE768F"/>
    <w:rsid w:val="00C77224"/>
    <w:rsid w:val="00CC09D0"/>
    <w:rsid w:val="00CD1C74"/>
    <w:rsid w:val="00CF1538"/>
    <w:rsid w:val="00CF3F29"/>
    <w:rsid w:val="00D21E91"/>
    <w:rsid w:val="00DB7832"/>
    <w:rsid w:val="00DE63EB"/>
    <w:rsid w:val="00E1287F"/>
    <w:rsid w:val="00E5089D"/>
    <w:rsid w:val="00E65AC1"/>
    <w:rsid w:val="00E96338"/>
    <w:rsid w:val="00EA1CCE"/>
    <w:rsid w:val="00EC6E79"/>
    <w:rsid w:val="00EF5AAC"/>
    <w:rsid w:val="00F26D61"/>
    <w:rsid w:val="00F3252E"/>
    <w:rsid w:val="00F41269"/>
    <w:rsid w:val="00F4503F"/>
    <w:rsid w:val="00F93174"/>
    <w:rsid w:val="00FA6FDA"/>
    <w:rsid w:val="00FF4E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28174"/>
  <w15:docId w15:val="{D308E911-6996-449C-91CB-FFA1BEE9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F23"/>
    <w:pPr>
      <w:ind w:left="720"/>
      <w:contextualSpacing/>
    </w:pPr>
  </w:style>
  <w:style w:type="paragraph" w:styleId="BalloonText">
    <w:name w:val="Balloon Text"/>
    <w:basedOn w:val="Normal"/>
    <w:link w:val="BalloonTextChar"/>
    <w:uiPriority w:val="99"/>
    <w:semiHidden/>
    <w:unhideWhenUsed/>
    <w:rsid w:val="000A7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F23"/>
    <w:rPr>
      <w:rFonts w:ascii="Tahoma" w:hAnsi="Tahoma" w:cs="Tahoma"/>
      <w:sz w:val="16"/>
      <w:szCs w:val="16"/>
    </w:rPr>
  </w:style>
  <w:style w:type="character" w:styleId="Hyperlink">
    <w:name w:val="Hyperlink"/>
    <w:basedOn w:val="DefaultParagraphFont"/>
    <w:uiPriority w:val="99"/>
    <w:unhideWhenUsed/>
    <w:rsid w:val="00CD1C74"/>
    <w:rPr>
      <w:color w:val="0000FF" w:themeColor="hyperlink"/>
      <w:u w:val="single"/>
    </w:rPr>
  </w:style>
  <w:style w:type="character" w:styleId="FollowedHyperlink">
    <w:name w:val="FollowedHyperlink"/>
    <w:basedOn w:val="DefaultParagraphFont"/>
    <w:uiPriority w:val="99"/>
    <w:semiHidden/>
    <w:unhideWhenUsed/>
    <w:rsid w:val="008D6E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561407">
      <w:bodyDiv w:val="1"/>
      <w:marLeft w:val="0"/>
      <w:marRight w:val="0"/>
      <w:marTop w:val="0"/>
      <w:marBottom w:val="0"/>
      <w:divBdr>
        <w:top w:val="none" w:sz="0" w:space="0" w:color="auto"/>
        <w:left w:val="none" w:sz="0" w:space="0" w:color="auto"/>
        <w:bottom w:val="none" w:sz="0" w:space="0" w:color="auto"/>
        <w:right w:val="none" w:sz="0" w:space="0" w:color="auto"/>
      </w:divBdr>
    </w:div>
    <w:div w:id="377553960">
      <w:bodyDiv w:val="1"/>
      <w:marLeft w:val="0"/>
      <w:marRight w:val="0"/>
      <w:marTop w:val="0"/>
      <w:marBottom w:val="0"/>
      <w:divBdr>
        <w:top w:val="none" w:sz="0" w:space="0" w:color="auto"/>
        <w:left w:val="none" w:sz="0" w:space="0" w:color="auto"/>
        <w:bottom w:val="none" w:sz="0" w:space="0" w:color="auto"/>
        <w:right w:val="none" w:sz="0" w:space="0" w:color="auto"/>
      </w:divBdr>
    </w:div>
    <w:div w:id="1581283244">
      <w:bodyDiv w:val="1"/>
      <w:marLeft w:val="0"/>
      <w:marRight w:val="0"/>
      <w:marTop w:val="0"/>
      <w:marBottom w:val="0"/>
      <w:divBdr>
        <w:top w:val="none" w:sz="0" w:space="0" w:color="auto"/>
        <w:left w:val="none" w:sz="0" w:space="0" w:color="auto"/>
        <w:bottom w:val="none" w:sz="0" w:space="0" w:color="auto"/>
        <w:right w:val="none" w:sz="0" w:space="0" w:color="auto"/>
      </w:divBdr>
    </w:div>
    <w:div w:id="196781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ti.com/lit/ug/slvubt8a/slvubt8a.pdf?ts=1632782594231&amp;ref_url=https%253A%252F%252Fwww.ti.com%252Fsitesearch%252Fdocs%252Funiversalsearch.tsp%253FlangPref%253Den-US%2526searchTerm%253DScalable-PMICs-GUI%2B2%2B0%2526nr%253D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A1056E7983A34EB6A56C4415B32B23" ma:contentTypeVersion="1" ma:contentTypeDescription="Create a new document." ma:contentTypeScope="" ma:versionID="918c5b07e33a1b4893a959a04363222f">
  <xsd:schema xmlns:xsd="http://www.w3.org/2001/XMLSchema" xmlns:xs="http://www.w3.org/2001/XMLSchema" xmlns:p="http://schemas.microsoft.com/office/2006/metadata/properties" xmlns:ns2="e92bee4e-db3d-4406-ad66-df8b743386d9" targetNamespace="http://schemas.microsoft.com/office/2006/metadata/properties" ma:root="true" ma:fieldsID="08e3915d4d76ef8bd7c76436df7512a8" ns2:_="">
    <xsd:import namespace="e92bee4e-db3d-4406-ad66-df8b743386d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bee4e-db3d-4406-ad66-df8b743386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A07EC-2FC4-4DBD-B14D-01102A434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bee4e-db3d-4406-ad66-df8b74338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FF7060-790E-4841-836F-5A96DDDD06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446351-8388-468C-A8E8-E09F4B8FAF03}">
  <ds:schemaRefs>
    <ds:schemaRef ds:uri="http://schemas.microsoft.com/sharepoint/v3/contenttype/forms"/>
  </ds:schemaRefs>
</ds:datastoreItem>
</file>

<file path=customXml/itemProps4.xml><?xml version="1.0" encoding="utf-8"?>
<ds:datastoreItem xmlns:ds="http://schemas.openxmlformats.org/officeDocument/2006/customXml" ds:itemID="{83B2D975-5ECF-48B9-9521-A062A737C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Texas Instruments Incorporated</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 Phil</dc:creator>
  <cp:lastModifiedBy>Yi, Phil</cp:lastModifiedBy>
  <cp:revision>4</cp:revision>
  <cp:lastPrinted>2019-06-15T19:39:00Z</cp:lastPrinted>
  <dcterms:created xsi:type="dcterms:W3CDTF">2021-11-18T21:35:00Z</dcterms:created>
  <dcterms:modified xsi:type="dcterms:W3CDTF">2022-05-02T13:15:00Z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0x010100EBA1056E7983A34EB6A56C4415B32B23</vt:lpwstr>
  </property>
</Properties>
</file>