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B5" w:rsidRDefault="001273B5" w:rsidP="0005107F">
      <w:pPr>
        <w:pStyle w:val="ListParagraph"/>
      </w:pPr>
    </w:p>
    <w:p w:rsidR="000E2A53" w:rsidRDefault="001273B5" w:rsidP="000E2A53">
      <w:pPr>
        <w:pStyle w:val="ListParagraph"/>
        <w:numPr>
          <w:ilvl w:val="0"/>
          <w:numId w:val="1"/>
        </w:numPr>
      </w:pPr>
      <w:r>
        <w:t>To check for SYSREF, run the DAC in NCO only mode and synchronize the NCO bl</w:t>
      </w:r>
      <w:r w:rsidR="00C07FB9">
        <w:t xml:space="preserve">ocks to SYSREF. </w:t>
      </w:r>
      <w:r w:rsidR="00BF447A">
        <w:t xml:space="preserve">Make sure SYSREF is not an integer divided of the NCO frequency used. </w:t>
      </w:r>
      <w:r w:rsidR="00C07FB9">
        <w:t>If SYSREF is</w:t>
      </w:r>
      <w:r>
        <w:t xml:space="preserve"> present, the NCO will be unstable.</w:t>
      </w:r>
      <w:r w:rsidR="00F37E9E">
        <w:t xml:space="preserve"> Set address </w:t>
      </w:r>
      <w:r w:rsidR="000E2A53">
        <w:t>0x27 in page 1 and 2 to 0x2828 to use SYSREF as the SYNC source.</w:t>
      </w:r>
      <w:r w:rsidR="000E2A53" w:rsidRPr="000E2A53">
        <w:rPr>
          <w:noProof/>
        </w:rPr>
        <w:t xml:space="preserve"> </w:t>
      </w:r>
      <w:r w:rsidR="00C07FB9">
        <w:rPr>
          <w:noProof/>
        </w:rPr>
        <w:t>If SYSREF is present, the DAC output will now be many tones as the NCO will be constantly reset by the SYSREF signa</w:t>
      </w:r>
      <w:r w:rsidR="00BF447A">
        <w:rPr>
          <w:noProof/>
        </w:rPr>
        <w:t>l. If SYSREF is</w:t>
      </w:r>
      <w:r w:rsidR="00C07FB9">
        <w:rPr>
          <w:noProof/>
        </w:rPr>
        <w:t xml:space="preserve"> disabled, the DAC output will be a stable NCO tone.  </w:t>
      </w:r>
    </w:p>
    <w:p w:rsidR="000E2A53" w:rsidRDefault="000E2A53" w:rsidP="000E2A53">
      <w:pPr>
        <w:jc w:val="center"/>
      </w:pPr>
      <w:r>
        <w:rPr>
          <w:noProof/>
        </w:rPr>
        <w:drawing>
          <wp:inline distT="0" distB="0" distL="0" distR="0">
            <wp:extent cx="3760967" cy="314206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67" cy="314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53" w:rsidRDefault="000E2A53" w:rsidP="000E2A53"/>
    <w:p w:rsidR="004B33E0" w:rsidRDefault="004B33E0" w:rsidP="004B33E0">
      <w:pPr>
        <w:pStyle w:val="ListParagraph"/>
      </w:pPr>
    </w:p>
    <w:p w:rsidR="004B33E0" w:rsidRDefault="004B33E0" w:rsidP="00B62735">
      <w:pPr>
        <w:pStyle w:val="ListParagraph"/>
        <w:numPr>
          <w:ilvl w:val="0"/>
          <w:numId w:val="1"/>
        </w:numPr>
      </w:pPr>
      <w:r>
        <w:t>If SYSREF is DC coupled, it must have a CM voltage of 0.5V and at least a 100mV swing.</w:t>
      </w:r>
    </w:p>
    <w:p w:rsidR="00B62735" w:rsidRDefault="00B62735" w:rsidP="00B62735">
      <w:pPr>
        <w:pStyle w:val="ListParagraph"/>
      </w:pPr>
    </w:p>
    <w:p w:rsidR="001273B5" w:rsidRDefault="001273B5" w:rsidP="001273B5">
      <w:pPr>
        <w:pStyle w:val="ListParagraph"/>
      </w:pPr>
    </w:p>
    <w:p w:rsidR="00A23441" w:rsidRDefault="00A23441" w:rsidP="00A23441"/>
    <w:p w:rsidR="00A23441" w:rsidRDefault="00A23441" w:rsidP="00A23441"/>
    <w:p w:rsidR="00A23441" w:rsidRDefault="00A23441" w:rsidP="00A23441"/>
    <w:p w:rsidR="00A23441" w:rsidRDefault="00A23441" w:rsidP="00A23441"/>
    <w:p w:rsidR="00A23441" w:rsidRDefault="00A23441" w:rsidP="00A23441"/>
    <w:p w:rsidR="00A23441" w:rsidRDefault="00A23441" w:rsidP="00A23441"/>
    <w:p w:rsidR="00A23441" w:rsidRDefault="00A23441" w:rsidP="00A23441"/>
    <w:p w:rsidR="00A23441" w:rsidRDefault="00A23441" w:rsidP="00A23441"/>
    <w:p w:rsidR="00A23441" w:rsidRDefault="00A23441" w:rsidP="00B62735">
      <w:pPr>
        <w:pStyle w:val="ListParagraph"/>
        <w:numPr>
          <w:ilvl w:val="0"/>
          <w:numId w:val="1"/>
        </w:numPr>
      </w:pPr>
      <w:r>
        <w:t>The following register determines which error will cause SYNC to de-assert (go low):</w:t>
      </w:r>
    </w:p>
    <w:p w:rsidR="00A23441" w:rsidRDefault="00A23441" w:rsidP="00A23441">
      <w:r>
        <w:rPr>
          <w:noProof/>
        </w:rPr>
        <w:drawing>
          <wp:inline distT="0" distB="0" distL="0" distR="0" wp14:anchorId="2584E64E" wp14:editId="76840FA2">
            <wp:extent cx="5939790" cy="339534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441" w:rsidRDefault="00A23441" w:rsidP="00A23441">
      <w:r>
        <w:t xml:space="preserve">The </w:t>
      </w:r>
      <w:r w:rsidR="00B21EF6">
        <w:t>default value used by TI is 0x001F</w:t>
      </w:r>
      <w:r w:rsidR="00871874">
        <w:t>.</w:t>
      </w:r>
    </w:p>
    <w:p w:rsidR="000C6A69" w:rsidRDefault="000C6A69" w:rsidP="00A23441">
      <w:pPr>
        <w:pStyle w:val="ListParagraph"/>
        <w:numPr>
          <w:ilvl w:val="0"/>
          <w:numId w:val="1"/>
        </w:numPr>
      </w:pPr>
      <w:r>
        <w:t>This register reports JESD errors.</w:t>
      </w:r>
      <w:r w:rsidR="007A7E4C">
        <w:t xml:space="preserve"> GUI default is 0xFF</w:t>
      </w:r>
      <w:r w:rsidR="00871874">
        <w:t>. If bit 9 is set to 0, if any of the errors occur, a short SYNC pulse will occur.</w:t>
      </w:r>
    </w:p>
    <w:p w:rsidR="000C6A69" w:rsidRDefault="000C6A69" w:rsidP="00A23441">
      <w:r>
        <w:rPr>
          <w:noProof/>
        </w:rPr>
        <w:lastRenderedPageBreak/>
        <w:drawing>
          <wp:inline distT="0" distB="0" distL="0" distR="0">
            <wp:extent cx="5945151" cy="343496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39" cy="343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67C" w:rsidRDefault="00A5167C" w:rsidP="00A23441">
      <w:proofErr w:type="spellStart"/>
      <w:r>
        <w:t>Sdafsdf</w:t>
      </w:r>
      <w:proofErr w:type="spellEnd"/>
    </w:p>
    <w:p w:rsidR="00A5167C" w:rsidRDefault="00A5167C" w:rsidP="00A23441">
      <w:r>
        <w:rPr>
          <w:noProof/>
        </w:rPr>
        <w:drawing>
          <wp:inline distT="0" distB="0" distL="0" distR="0">
            <wp:extent cx="5939790" cy="3140710"/>
            <wp:effectExtent l="0" t="0" r="381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874" w:rsidRDefault="00871874" w:rsidP="00A23441">
      <w:r>
        <w:t>If any lane reports a loss of signal, the device will pull SYNC low.</w:t>
      </w:r>
      <w:r w:rsidR="0083796D">
        <w:t xml:space="preserve"> These map directly to the input pins.</w:t>
      </w:r>
    </w:p>
    <w:p w:rsidR="00A5167C" w:rsidRDefault="00A5167C" w:rsidP="00A23441"/>
    <w:p w:rsidR="00A5167C" w:rsidRDefault="00681698" w:rsidP="00A23441">
      <w:r>
        <w:t>If JTAG is not used, TRSTN must be tied low.</w:t>
      </w:r>
      <w:bookmarkStart w:id="0" w:name="_GoBack"/>
      <w:bookmarkEnd w:id="0"/>
    </w:p>
    <w:sectPr w:rsidR="00A51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673A4"/>
    <w:multiLevelType w:val="hybridMultilevel"/>
    <w:tmpl w:val="FD80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0"/>
    <w:rsid w:val="0005107F"/>
    <w:rsid w:val="000A6A86"/>
    <w:rsid w:val="000B5865"/>
    <w:rsid w:val="000C6A69"/>
    <w:rsid w:val="000E2A53"/>
    <w:rsid w:val="001273B5"/>
    <w:rsid w:val="002B6076"/>
    <w:rsid w:val="002C2250"/>
    <w:rsid w:val="004B33E0"/>
    <w:rsid w:val="00681698"/>
    <w:rsid w:val="00767749"/>
    <w:rsid w:val="007A7E4C"/>
    <w:rsid w:val="0083796D"/>
    <w:rsid w:val="00871874"/>
    <w:rsid w:val="00A23441"/>
    <w:rsid w:val="00A5167C"/>
    <w:rsid w:val="00B21EF6"/>
    <w:rsid w:val="00B62735"/>
    <w:rsid w:val="00BF447A"/>
    <w:rsid w:val="00C07FB9"/>
    <w:rsid w:val="00C17902"/>
    <w:rsid w:val="00F248D5"/>
    <w:rsid w:val="00F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1815"/>
  <w15:docId w15:val="{AB791B66-8EAA-41B9-A20F-D5D694F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Seton, Jim</cp:lastModifiedBy>
  <cp:revision>3</cp:revision>
  <cp:lastPrinted>2017-12-07T12:57:00Z</cp:lastPrinted>
  <dcterms:created xsi:type="dcterms:W3CDTF">2022-05-26T10:55:00Z</dcterms:created>
  <dcterms:modified xsi:type="dcterms:W3CDTF">2022-05-26T10:57:00Z</dcterms:modified>
</cp:coreProperties>
</file>