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A51" w:rsidRPr="00570E68" w:rsidRDefault="00C855C9">
      <w:pPr>
        <w:rPr>
          <w:sz w:val="28"/>
          <w:szCs w:val="28"/>
        </w:rPr>
      </w:pPr>
      <w:r w:rsidRPr="00570E68">
        <w:rPr>
          <w:sz w:val="28"/>
          <w:szCs w:val="28"/>
        </w:rPr>
        <w:t>LMX2594 Output Power</w:t>
      </w:r>
    </w:p>
    <w:p w:rsidR="00C855C9" w:rsidRPr="00570E68" w:rsidRDefault="00C855C9">
      <w:pPr>
        <w:rPr>
          <w:b/>
        </w:rPr>
      </w:pPr>
      <w:r w:rsidRPr="00570E68">
        <w:rPr>
          <w:b/>
        </w:rPr>
        <w:t>Introduction</w:t>
      </w:r>
    </w:p>
    <w:p w:rsidR="00C855C9" w:rsidRDefault="00C855C9">
      <w:r>
        <w:t xml:space="preserve">The setup conditions for measurement of output power are </w:t>
      </w:r>
      <w:proofErr w:type="gramStart"/>
      <w:r>
        <w:t>key</w:t>
      </w:r>
      <w:proofErr w:type="gramEnd"/>
      <w:r>
        <w:t>.  This document describes the setup conditions used to achieve the numbers as reported in the datasheet.  There are a few key points to keep in mind:</w:t>
      </w:r>
    </w:p>
    <w:p w:rsidR="00C855C9" w:rsidRDefault="00C855C9" w:rsidP="00C855C9">
      <w:pPr>
        <w:pStyle w:val="ListParagraph"/>
        <w:numPr>
          <w:ilvl w:val="0"/>
          <w:numId w:val="1"/>
        </w:numPr>
      </w:pPr>
      <w:r>
        <w:t xml:space="preserve">Output power in datasheet has losses de-embedded.  </w:t>
      </w:r>
    </w:p>
    <w:p w:rsidR="00C855C9" w:rsidRDefault="00C855C9" w:rsidP="00C855C9">
      <w:pPr>
        <w:pStyle w:val="ListParagraph"/>
        <w:numPr>
          <w:ilvl w:val="0"/>
          <w:numId w:val="1"/>
        </w:numPr>
      </w:pPr>
      <w:r>
        <w:t xml:space="preserve">The LMX2594 EVM routing is sub-optimal for output power.  </w:t>
      </w:r>
    </w:p>
    <w:p w:rsidR="00C855C9" w:rsidRDefault="00C855C9" w:rsidP="00C855C9">
      <w:pPr>
        <w:pStyle w:val="ListParagraph"/>
        <w:numPr>
          <w:ilvl w:val="0"/>
          <w:numId w:val="1"/>
        </w:numPr>
      </w:pPr>
      <w:r>
        <w:t>Output power setting</w:t>
      </w:r>
      <w:r w:rsidR="00570E68">
        <w:t xml:space="preserve"> for </w:t>
      </w:r>
      <w:proofErr w:type="spellStart"/>
      <w:r w:rsidR="00570E68">
        <w:t>OUTx_</w:t>
      </w:r>
      <w:proofErr w:type="gramStart"/>
      <w:r w:rsidR="00570E68">
        <w:t>PWR</w:t>
      </w:r>
      <w:proofErr w:type="spellEnd"/>
      <w:r w:rsidR="00570E68">
        <w:t xml:space="preserve"> </w:t>
      </w:r>
      <w:r>
        <w:t xml:space="preserve"> is</w:t>
      </w:r>
      <w:proofErr w:type="gramEnd"/>
      <w:r>
        <w:t xml:space="preserve"> non-linear and has a discontinuity between 31 and 32.</w:t>
      </w:r>
    </w:p>
    <w:p w:rsidR="00570E68" w:rsidRDefault="00570E68" w:rsidP="00C855C9">
      <w:pPr>
        <w:pStyle w:val="ListParagraph"/>
        <w:numPr>
          <w:ilvl w:val="0"/>
          <w:numId w:val="1"/>
        </w:numPr>
      </w:pPr>
      <w:r>
        <w:t>Output power will be lost due to bad match</w:t>
      </w:r>
    </w:p>
    <w:p w:rsidR="00C855C9" w:rsidRDefault="00C855C9" w:rsidP="00C855C9"/>
    <w:p w:rsidR="00C855C9" w:rsidRPr="00570E68" w:rsidRDefault="00C855C9" w:rsidP="00C855C9">
      <w:pPr>
        <w:rPr>
          <w:b/>
        </w:rPr>
      </w:pPr>
      <w:r w:rsidRPr="00570E68">
        <w:rPr>
          <w:b/>
        </w:rPr>
        <w:t>LMX2594 Datasheet Output Power</w:t>
      </w:r>
    </w:p>
    <w:p w:rsidR="00C855C9" w:rsidRDefault="00C855C9" w:rsidP="00C855C9">
      <w:r>
        <w:rPr>
          <w:noProof/>
        </w:rPr>
        <w:drawing>
          <wp:inline distT="0" distB="0" distL="0" distR="0" wp14:anchorId="4993C88A" wp14:editId="07ACFA0C">
            <wp:extent cx="5943600" cy="82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821055"/>
                    </a:xfrm>
                    <a:prstGeom prst="rect">
                      <a:avLst/>
                    </a:prstGeom>
                  </pic:spPr>
                </pic:pic>
              </a:graphicData>
            </a:graphic>
          </wp:inline>
        </w:drawing>
      </w:r>
    </w:p>
    <w:p w:rsidR="00570E68" w:rsidRDefault="00570E68" w:rsidP="00C855C9">
      <w:r>
        <w:rPr>
          <w:noProof/>
        </w:rPr>
        <w:drawing>
          <wp:inline distT="0" distB="0" distL="0" distR="0" wp14:anchorId="4A4B65C3" wp14:editId="131AEDA9">
            <wp:extent cx="5943600" cy="408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08305"/>
                    </a:xfrm>
                    <a:prstGeom prst="rect">
                      <a:avLst/>
                    </a:prstGeom>
                  </pic:spPr>
                </pic:pic>
              </a:graphicData>
            </a:graphic>
          </wp:inline>
        </w:drawing>
      </w:r>
    </w:p>
    <w:p w:rsidR="00C855C9" w:rsidRDefault="00570E68" w:rsidP="00C855C9">
      <w:r>
        <w:t>The numbers reported in the datasheet assume that the losses are de-embedded and that the load is matched.</w:t>
      </w:r>
    </w:p>
    <w:p w:rsidR="00570E68" w:rsidRDefault="00570E68" w:rsidP="00570E68">
      <w:pPr>
        <w:rPr>
          <w:b/>
        </w:rPr>
      </w:pPr>
      <w:r>
        <w:rPr>
          <w:b/>
        </w:rPr>
        <w:t>Board Used for Output Power</w:t>
      </w:r>
    </w:p>
    <w:p w:rsidR="00570E68" w:rsidRDefault="00570E68" w:rsidP="00570E68">
      <w:r>
        <w:t>The placement for the pull-up component is absolutely critical and must be close to the chip or else there is loss in output power.  However, the LMX2594EVM accommodates many features including differential outputs.  For the best possible output power measurement, it is better to use a single-ended routing and take the complimentary side to 50 ohm on the back side of the board as done in reference design TIDA-01410.  Note in layout that pullup is as close as possible.  Also best possible connector and decoupling capacitor is used.</w:t>
      </w:r>
    </w:p>
    <w:p w:rsidR="00570E68" w:rsidRPr="00570E68" w:rsidRDefault="00570E68" w:rsidP="00570E68">
      <w:pPr>
        <w:jc w:val="center"/>
        <w:rPr>
          <w:b/>
        </w:rPr>
      </w:pPr>
      <w:r>
        <w:rPr>
          <w:noProof/>
        </w:rPr>
        <w:drawing>
          <wp:inline distT="0" distB="0" distL="0" distR="0" wp14:anchorId="6FC7F30B" wp14:editId="481CB58E">
            <wp:extent cx="1411091" cy="3276600"/>
            <wp:effectExtent l="63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1411091" cy="3276600"/>
                    </a:xfrm>
                    <a:prstGeom prst="rect">
                      <a:avLst/>
                    </a:prstGeom>
                  </pic:spPr>
                </pic:pic>
              </a:graphicData>
            </a:graphic>
          </wp:inline>
        </w:drawing>
      </w:r>
    </w:p>
    <w:p w:rsidR="00C64B48" w:rsidRDefault="00C64B48" w:rsidP="00570E68">
      <w:pPr>
        <w:rPr>
          <w:b/>
        </w:rPr>
      </w:pPr>
      <w:r>
        <w:rPr>
          <w:b/>
        </w:rPr>
        <w:lastRenderedPageBreak/>
        <w:t>Matching the Load</w:t>
      </w:r>
    </w:p>
    <w:p w:rsidR="00C64B48" w:rsidRDefault="00C64B48" w:rsidP="00C64B48">
      <w:r>
        <w:t>If the load is not matched, then there is loss of power.  The matching may change with frequency.  In the case of the resistor pull-up, the matching helped only slightly.  However, in the case of the inductor pull-up, the output impedance is far from 50 ohms and matching is not very good.  In both cases, a sliding microwave tuner was used from Maury Microwave.</w:t>
      </w:r>
    </w:p>
    <w:p w:rsidR="00C64B48" w:rsidRDefault="004E0B64" w:rsidP="00C64B48">
      <w:pPr>
        <w:jc w:val="cente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153pt;mso-left-percent:-10001;mso-top-percent:-10001;mso-position-horizontal:absolute;mso-position-horizontal-relative:char;mso-position-vertical:absolute;mso-position-vertical-relative:line;mso-left-percent:-10001;mso-top-percent:-10001">
            <v:imagedata r:id="rId10" o:title="IMG_1678" croptop="11081f" cropbottom="25906f" cropleft="6084f" cropright="8829f"/>
          </v:shape>
        </w:pict>
      </w:r>
    </w:p>
    <w:p w:rsidR="004E0B64" w:rsidRDefault="004E0B64" w:rsidP="00C64B48">
      <w:pPr>
        <w:rPr>
          <w:b/>
        </w:rPr>
      </w:pPr>
    </w:p>
    <w:p w:rsidR="00C64B48" w:rsidRDefault="004E0B64" w:rsidP="00C64B48">
      <w:pPr>
        <w:rPr>
          <w:b/>
        </w:rPr>
      </w:pPr>
      <w:r>
        <w:rPr>
          <w:b/>
        </w:rPr>
        <w:t xml:space="preserve">Determining the Loss due to </w:t>
      </w:r>
      <w:r w:rsidR="00217C67">
        <w:rPr>
          <w:b/>
        </w:rPr>
        <w:t>SMA Connectors on the board and Traces on the Board</w:t>
      </w:r>
    </w:p>
    <w:p w:rsidR="00725465" w:rsidRDefault="004E0B64" w:rsidP="00C64B48">
      <w:r>
        <w:t xml:space="preserve">For the actual measurement, </w:t>
      </w:r>
      <w:r w:rsidR="00725465">
        <w:t>a signal generator of known power and frequency was attached to the E5053 and the signal generator frequency was swept.</w:t>
      </w:r>
    </w:p>
    <w:p w:rsidR="00725465" w:rsidRDefault="00725465" w:rsidP="00725465">
      <w:pPr>
        <w:jc w:val="center"/>
      </w:pPr>
      <w:r>
        <w:object w:dxaOrig="9075" w:dyaOrig="1439">
          <v:shape id="_x0000_i1032" type="#_x0000_t75" style="width:453.75pt;height:1in" o:ole="">
            <v:imagedata r:id="rId11" o:title=""/>
          </v:shape>
          <o:OLEObject Type="Embed" ProgID="Visio.Drawing.11" ShapeID="_x0000_i1032" DrawAspect="Content" ObjectID="_1572432599" r:id="rId12"/>
        </w:object>
      </w:r>
    </w:p>
    <w:p w:rsidR="00217C67" w:rsidRDefault="00217C67" w:rsidP="00217C67">
      <w:r>
        <w:t xml:space="preserve">The next step was to repeat this with a specialized board that had one output that was two copies of the output trace placed back to back and including the SMA connectors.  Then this was connected </w:t>
      </w:r>
      <w:proofErr w:type="gramStart"/>
      <w:r>
        <w:t>with  a</w:t>
      </w:r>
      <w:proofErr w:type="gramEnd"/>
      <w:r>
        <w:t xml:space="preserve"> barrel connector that was assumed to have no loss.  The change in the output power observed on the E5053 is therefore twice the loss.</w:t>
      </w:r>
    </w:p>
    <w:p w:rsidR="00725465" w:rsidRDefault="00217C67" w:rsidP="00217C67">
      <w:r>
        <w:object w:dxaOrig="12698" w:dyaOrig="1529">
          <v:shape id="_x0000_i1033" type="#_x0000_t75" style="width:468pt;height:56.25pt" o:ole="">
            <v:imagedata r:id="rId13" o:title=""/>
          </v:shape>
          <o:OLEObject Type="Embed" ProgID="Visio.Drawing.11" ShapeID="_x0000_i1033" DrawAspect="Content" ObjectID="_1572432600" r:id="rId14"/>
        </w:object>
      </w:r>
      <w:r>
        <w:t xml:space="preserve">  </w:t>
      </w:r>
    </w:p>
    <w:p w:rsidR="00217C67" w:rsidRDefault="00217C67" w:rsidP="00217C67"/>
    <w:p w:rsidR="00217C67" w:rsidRDefault="00217C67" w:rsidP="00217C67"/>
    <w:p w:rsidR="00217C67" w:rsidRDefault="00217C67" w:rsidP="00217C67"/>
    <w:p w:rsidR="00217C67" w:rsidRDefault="00217C67" w:rsidP="00217C67">
      <w:pPr>
        <w:jc w:val="both"/>
      </w:pPr>
      <w:r>
        <w:lastRenderedPageBreak/>
        <w:t>The actual board used was specialized for this purpose and served many functions, but a diagram of this is shown below.  Note that he path on the far right is twice the length of the path attached to the LMX2594.</w:t>
      </w:r>
    </w:p>
    <w:p w:rsidR="004E0B64" w:rsidRDefault="004E0B64" w:rsidP="004E0B64">
      <w:r>
        <w:object w:dxaOrig="9465" w:dyaOrig="3886">
          <v:shape id="_x0000_i1026" type="#_x0000_t75" style="width:467.25pt;height:192pt" o:ole="">
            <v:imagedata r:id="rId15" o:title=""/>
          </v:shape>
          <o:OLEObject Type="Embed" ProgID="Visio.Drawing.11" ShapeID="_x0000_i1026" DrawAspect="Content" ObjectID="_1572432601" r:id="rId16"/>
        </w:object>
      </w:r>
    </w:p>
    <w:p w:rsidR="004E0B64" w:rsidRDefault="004E0B64" w:rsidP="00C64B48"/>
    <w:p w:rsidR="00217C67" w:rsidRDefault="00217C67" w:rsidP="00C64B48">
      <w:r>
        <w:t>The loss of this board was measured over frequency and it was found to be about 0.2 dB.  Although this board was not the dual PLL board (TIDA-01410), the PLL on it was a copy of this layout and therefore it can be assumed that the losses would be the same.</w:t>
      </w:r>
    </w:p>
    <w:p w:rsidR="00C64B48" w:rsidRDefault="00C64B48" w:rsidP="004E0B64">
      <w:pPr>
        <w:jc w:val="center"/>
        <w:rPr>
          <w:b/>
        </w:rPr>
      </w:pPr>
    </w:p>
    <w:p w:rsidR="00143002" w:rsidRDefault="00143002">
      <w:pPr>
        <w:rPr>
          <w:b/>
        </w:rPr>
      </w:pPr>
      <w:r>
        <w:rPr>
          <w:b/>
        </w:rPr>
        <w:br w:type="page"/>
      </w:r>
    </w:p>
    <w:p w:rsidR="00570E68" w:rsidRDefault="00C64B48" w:rsidP="00570E68">
      <w:pPr>
        <w:rPr>
          <w:b/>
        </w:rPr>
      </w:pPr>
      <w:r>
        <w:rPr>
          <w:b/>
        </w:rPr>
        <w:lastRenderedPageBreak/>
        <w:t>Measurements</w:t>
      </w:r>
      <w:r w:rsidR="00143002">
        <w:rPr>
          <w:b/>
        </w:rPr>
        <w:t xml:space="preserve"> for Resistive Load</w:t>
      </w:r>
    </w:p>
    <w:tbl>
      <w:tblPr>
        <w:tblW w:w="8441" w:type="dxa"/>
        <w:tblInd w:w="93" w:type="dxa"/>
        <w:tblLook w:val="04A0" w:firstRow="1" w:lastRow="0" w:firstColumn="1" w:lastColumn="0" w:noHBand="0" w:noVBand="1"/>
      </w:tblPr>
      <w:tblGrid>
        <w:gridCol w:w="774"/>
        <w:gridCol w:w="1276"/>
        <w:gridCol w:w="1007"/>
        <w:gridCol w:w="1120"/>
        <w:gridCol w:w="1110"/>
        <w:gridCol w:w="1697"/>
        <w:gridCol w:w="1457"/>
      </w:tblGrid>
      <w:tr w:rsidR="00143002" w:rsidRPr="00143002" w:rsidTr="00C70BD7">
        <w:trPr>
          <w:trHeight w:val="300"/>
        </w:trPr>
        <w:tc>
          <w:tcPr>
            <w:tcW w:w="844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b/>
                <w:bCs/>
                <w:color w:val="000000"/>
              </w:rPr>
            </w:pPr>
            <w:r w:rsidRPr="00143002">
              <w:rPr>
                <w:rFonts w:ascii="Calibri" w:eastAsia="Times New Roman" w:hAnsi="Calibri" w:cs="Times New Roman"/>
                <w:b/>
                <w:bCs/>
                <w:color w:val="000000"/>
              </w:rPr>
              <w:t>50 ohm Resistor Pull-Up</w:t>
            </w:r>
          </w:p>
        </w:tc>
      </w:tr>
      <w:tr w:rsidR="00143002"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color w:val="000000"/>
              </w:rPr>
            </w:pPr>
            <w:proofErr w:type="spellStart"/>
            <w:r w:rsidRPr="00143002">
              <w:rPr>
                <w:rFonts w:ascii="Calibri" w:eastAsia="Times New Roman" w:hAnsi="Calibri" w:cs="Times New Roman"/>
                <w:color w:val="000000"/>
              </w:rPr>
              <w:t>Fvco</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OUTA_PWR</w:t>
            </w:r>
          </w:p>
        </w:tc>
        <w:tc>
          <w:tcPr>
            <w:tcW w:w="1007" w:type="dxa"/>
            <w:tcBorders>
              <w:top w:val="nil"/>
              <w:left w:val="nil"/>
              <w:bottom w:val="single" w:sz="4" w:space="0" w:color="auto"/>
              <w:right w:val="single" w:sz="4" w:space="0" w:color="auto"/>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Measure</w:t>
            </w:r>
          </w:p>
        </w:tc>
        <w:tc>
          <w:tcPr>
            <w:tcW w:w="1120" w:type="dxa"/>
            <w:tcBorders>
              <w:top w:val="nil"/>
              <w:left w:val="nil"/>
              <w:bottom w:val="single" w:sz="4" w:space="0" w:color="auto"/>
              <w:right w:val="single" w:sz="4" w:space="0" w:color="auto"/>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Board Loss</w:t>
            </w:r>
          </w:p>
        </w:tc>
        <w:tc>
          <w:tcPr>
            <w:tcW w:w="1110" w:type="dxa"/>
            <w:tcBorders>
              <w:top w:val="nil"/>
              <w:left w:val="nil"/>
              <w:bottom w:val="single" w:sz="4" w:space="0" w:color="auto"/>
              <w:right w:val="single" w:sz="4" w:space="0" w:color="auto"/>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Tuner Loss</w:t>
            </w:r>
          </w:p>
        </w:tc>
        <w:tc>
          <w:tcPr>
            <w:tcW w:w="1697" w:type="dxa"/>
            <w:tcBorders>
              <w:top w:val="nil"/>
              <w:left w:val="nil"/>
              <w:bottom w:val="single" w:sz="4" w:space="0" w:color="auto"/>
              <w:right w:val="single" w:sz="4" w:space="0" w:color="auto"/>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Connector Saver</w:t>
            </w:r>
          </w:p>
        </w:tc>
        <w:tc>
          <w:tcPr>
            <w:tcW w:w="1457" w:type="dxa"/>
            <w:tcBorders>
              <w:top w:val="nil"/>
              <w:left w:val="nil"/>
              <w:bottom w:val="single" w:sz="4" w:space="0" w:color="auto"/>
              <w:right w:val="single" w:sz="4" w:space="0" w:color="auto"/>
            </w:tcBorders>
            <w:shd w:val="clear" w:color="auto" w:fill="auto"/>
            <w:noWrap/>
            <w:vAlign w:val="bottom"/>
            <w:hideMark/>
          </w:tcPr>
          <w:p w:rsidR="00143002" w:rsidRPr="00143002" w:rsidRDefault="00143002"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Output Power</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7.7</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0.1</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 </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8.0</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4000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8.8</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0.1</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 </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9.1</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8.6</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 </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9.0</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6000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6.6</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 </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7.0</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7000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3.2</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 </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3.6</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8000</w:t>
            </w:r>
          </w:p>
        </w:tc>
        <w:tc>
          <w:tcPr>
            <w:tcW w:w="1276" w:type="dxa"/>
            <w:tcBorders>
              <w:top w:val="nil"/>
              <w:left w:val="nil"/>
              <w:bottom w:val="single" w:sz="4" w:space="0" w:color="auto"/>
              <w:right w:val="single" w:sz="4" w:space="0" w:color="auto"/>
            </w:tcBorders>
            <w:shd w:val="clear" w:color="auto" w:fill="FFC000"/>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4.7</w:t>
            </w:r>
          </w:p>
        </w:tc>
        <w:tc>
          <w:tcPr>
            <w:tcW w:w="1120"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0.3</w:t>
            </w:r>
          </w:p>
        </w:tc>
        <w:tc>
          <w:tcPr>
            <w:tcW w:w="1697"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 </w:t>
            </w:r>
          </w:p>
        </w:tc>
        <w:tc>
          <w:tcPr>
            <w:tcW w:w="1457"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5.2</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3.8</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0.3</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 </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4.3</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2.3</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0.3</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0.1</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2.9</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11000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0.4</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3.8</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12000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1.7</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0.4</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0.3</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2.6</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13000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2.8</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0.4</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0.4</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3.8</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14000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3.1</w:t>
            </w:r>
          </w:p>
        </w:tc>
        <w:tc>
          <w:tcPr>
            <w:tcW w:w="112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0.5</w:t>
            </w:r>
          </w:p>
        </w:tc>
        <w:tc>
          <w:tcPr>
            <w:tcW w:w="169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0.4</w:t>
            </w:r>
          </w:p>
        </w:tc>
        <w:tc>
          <w:tcPr>
            <w:tcW w:w="1457" w:type="dxa"/>
            <w:tcBorders>
              <w:top w:val="nil"/>
              <w:left w:val="nil"/>
              <w:bottom w:val="single" w:sz="4" w:space="0" w:color="auto"/>
              <w:right w:val="single" w:sz="4" w:space="0" w:color="auto"/>
            </w:tcBorders>
            <w:shd w:val="clear" w:color="auto" w:fill="auto"/>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4.2</w:t>
            </w:r>
          </w:p>
        </w:tc>
      </w:tr>
      <w:tr w:rsidR="00C70BD7" w:rsidRPr="00143002" w:rsidTr="00C70BD7">
        <w:trPr>
          <w:trHeight w:val="300"/>
        </w:trPr>
        <w:tc>
          <w:tcPr>
            <w:tcW w:w="774" w:type="dxa"/>
            <w:tcBorders>
              <w:top w:val="nil"/>
              <w:left w:val="single" w:sz="4" w:space="0" w:color="auto"/>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15000</w:t>
            </w:r>
          </w:p>
        </w:tc>
        <w:tc>
          <w:tcPr>
            <w:tcW w:w="1276" w:type="dxa"/>
            <w:tcBorders>
              <w:top w:val="nil"/>
              <w:left w:val="nil"/>
              <w:bottom w:val="single" w:sz="4" w:space="0" w:color="auto"/>
              <w:right w:val="single" w:sz="4" w:space="0" w:color="auto"/>
            </w:tcBorders>
            <w:shd w:val="clear" w:color="auto" w:fill="FFC000"/>
            <w:noWrap/>
            <w:vAlign w:val="bottom"/>
            <w:hideMark/>
          </w:tcPr>
          <w:p w:rsidR="00C70BD7" w:rsidRDefault="00C70BD7" w:rsidP="00C70BD7">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0.2</w:t>
            </w:r>
          </w:p>
        </w:tc>
        <w:tc>
          <w:tcPr>
            <w:tcW w:w="1110"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0.5</w:t>
            </w:r>
          </w:p>
        </w:tc>
        <w:tc>
          <w:tcPr>
            <w:tcW w:w="1697"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0.5</w:t>
            </w:r>
          </w:p>
        </w:tc>
        <w:tc>
          <w:tcPr>
            <w:tcW w:w="1457" w:type="dxa"/>
            <w:tcBorders>
              <w:top w:val="nil"/>
              <w:left w:val="nil"/>
              <w:bottom w:val="single" w:sz="4" w:space="0" w:color="auto"/>
              <w:right w:val="single" w:sz="4" w:space="0" w:color="auto"/>
            </w:tcBorders>
            <w:shd w:val="clear" w:color="auto" w:fill="FFC000"/>
            <w:noWrap/>
            <w:vAlign w:val="bottom"/>
            <w:hideMark/>
          </w:tcPr>
          <w:p w:rsidR="00C70BD7" w:rsidRPr="00143002" w:rsidRDefault="00C70BD7" w:rsidP="00143002">
            <w:pPr>
              <w:spacing w:after="0" w:line="240" w:lineRule="auto"/>
              <w:jc w:val="center"/>
              <w:rPr>
                <w:rFonts w:ascii="Calibri" w:eastAsia="Times New Roman" w:hAnsi="Calibri" w:cs="Times New Roman"/>
                <w:color w:val="000000"/>
              </w:rPr>
            </w:pPr>
            <w:r w:rsidRPr="00143002">
              <w:rPr>
                <w:rFonts w:ascii="Calibri" w:eastAsia="Times New Roman" w:hAnsi="Calibri" w:cs="Times New Roman"/>
                <w:color w:val="000000"/>
              </w:rPr>
              <w:t>2.2</w:t>
            </w:r>
          </w:p>
        </w:tc>
      </w:tr>
    </w:tbl>
    <w:p w:rsidR="00EE3713" w:rsidRDefault="00EE3713" w:rsidP="00570E68">
      <w:pPr>
        <w:rPr>
          <w:b/>
        </w:rPr>
      </w:pPr>
    </w:p>
    <w:tbl>
      <w:tblPr>
        <w:tblW w:w="8487" w:type="dxa"/>
        <w:tblInd w:w="93" w:type="dxa"/>
        <w:tblLook w:val="04A0" w:firstRow="1" w:lastRow="0" w:firstColumn="1" w:lastColumn="0" w:noHBand="0" w:noVBand="1"/>
      </w:tblPr>
      <w:tblGrid>
        <w:gridCol w:w="941"/>
        <w:gridCol w:w="1276"/>
        <w:gridCol w:w="1007"/>
        <w:gridCol w:w="1095"/>
        <w:gridCol w:w="1085"/>
        <w:gridCol w:w="1659"/>
        <w:gridCol w:w="1424"/>
      </w:tblGrid>
      <w:tr w:rsidR="00EE3713" w:rsidRPr="00EE3713" w:rsidTr="00C70BD7">
        <w:trPr>
          <w:trHeight w:val="300"/>
        </w:trPr>
        <w:tc>
          <w:tcPr>
            <w:tcW w:w="848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b/>
                <w:color w:val="000000"/>
              </w:rPr>
            </w:pPr>
            <w:r w:rsidRPr="00EE3713">
              <w:rPr>
                <w:rFonts w:ascii="Calibri" w:eastAsia="Times New Roman" w:hAnsi="Calibri" w:cs="Times New Roman"/>
                <w:b/>
                <w:color w:val="000000"/>
              </w:rPr>
              <w:t>1 nH Inductor Pull-Up</w:t>
            </w:r>
          </w:p>
        </w:tc>
      </w:tr>
      <w:tr w:rsidR="00EE3713"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color w:val="000000"/>
              </w:rPr>
            </w:pPr>
            <w:proofErr w:type="spellStart"/>
            <w:r w:rsidRPr="00EE3713">
              <w:rPr>
                <w:rFonts w:ascii="Calibri" w:eastAsia="Times New Roman" w:hAnsi="Calibri" w:cs="Times New Roman"/>
                <w:color w:val="000000"/>
              </w:rPr>
              <w:t>Fvco</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OUTA_PWR</w:t>
            </w:r>
          </w:p>
        </w:tc>
        <w:tc>
          <w:tcPr>
            <w:tcW w:w="1007" w:type="dxa"/>
            <w:tcBorders>
              <w:top w:val="nil"/>
              <w:left w:val="nil"/>
              <w:bottom w:val="single" w:sz="4" w:space="0" w:color="auto"/>
              <w:right w:val="single" w:sz="4" w:space="0" w:color="auto"/>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Measure</w:t>
            </w:r>
          </w:p>
        </w:tc>
        <w:tc>
          <w:tcPr>
            <w:tcW w:w="1095" w:type="dxa"/>
            <w:tcBorders>
              <w:top w:val="nil"/>
              <w:left w:val="nil"/>
              <w:bottom w:val="single" w:sz="4" w:space="0" w:color="auto"/>
              <w:right w:val="single" w:sz="4" w:space="0" w:color="auto"/>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Board Loss</w:t>
            </w:r>
          </w:p>
        </w:tc>
        <w:tc>
          <w:tcPr>
            <w:tcW w:w="1085" w:type="dxa"/>
            <w:tcBorders>
              <w:top w:val="nil"/>
              <w:left w:val="nil"/>
              <w:bottom w:val="single" w:sz="4" w:space="0" w:color="auto"/>
              <w:right w:val="single" w:sz="4" w:space="0" w:color="auto"/>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Tuner Loss</w:t>
            </w:r>
          </w:p>
        </w:tc>
        <w:tc>
          <w:tcPr>
            <w:tcW w:w="1659" w:type="dxa"/>
            <w:tcBorders>
              <w:top w:val="nil"/>
              <w:left w:val="nil"/>
              <w:bottom w:val="single" w:sz="4" w:space="0" w:color="auto"/>
              <w:right w:val="single" w:sz="4" w:space="0" w:color="auto"/>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Connector Saver</w:t>
            </w:r>
          </w:p>
        </w:tc>
        <w:tc>
          <w:tcPr>
            <w:tcW w:w="1424" w:type="dxa"/>
            <w:tcBorders>
              <w:top w:val="nil"/>
              <w:left w:val="nil"/>
              <w:bottom w:val="single" w:sz="4" w:space="0" w:color="auto"/>
              <w:right w:val="single" w:sz="4" w:space="0" w:color="auto"/>
            </w:tcBorders>
            <w:shd w:val="clear" w:color="auto" w:fill="auto"/>
            <w:noWrap/>
            <w:vAlign w:val="bottom"/>
            <w:hideMark/>
          </w:tcPr>
          <w:p w:rsidR="00EE3713" w:rsidRPr="00EE3713" w:rsidRDefault="00EE3713"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Output Power</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3000.0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10.6</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0.1</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 </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10.9</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4000.0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11.9</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0.1</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 </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12.2</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5000.0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12.1</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 </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12.5</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6000.0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10.6</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 </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11.0</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7000.0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7.9</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 </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8.3</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8000.0</w:t>
            </w:r>
          </w:p>
        </w:tc>
        <w:tc>
          <w:tcPr>
            <w:tcW w:w="1276" w:type="dxa"/>
            <w:tcBorders>
              <w:top w:val="nil"/>
              <w:left w:val="nil"/>
              <w:bottom w:val="single" w:sz="4" w:space="0" w:color="auto"/>
              <w:right w:val="single" w:sz="4" w:space="0" w:color="auto"/>
            </w:tcBorders>
            <w:shd w:val="clear" w:color="auto" w:fill="FFC000"/>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9.4</w:t>
            </w:r>
          </w:p>
        </w:tc>
        <w:tc>
          <w:tcPr>
            <w:tcW w:w="1095"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0.3</w:t>
            </w:r>
          </w:p>
        </w:tc>
        <w:tc>
          <w:tcPr>
            <w:tcW w:w="1659"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 </w:t>
            </w:r>
          </w:p>
        </w:tc>
        <w:tc>
          <w:tcPr>
            <w:tcW w:w="1424"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9.9</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9000.0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8.5</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0.3</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 </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9.0</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10000.0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7.6</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0.3</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0.1</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8.2</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11000.0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6.8</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0.4</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7.6</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12000.0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6.2</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0.4</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0.3</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7.1</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13000.0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6.1</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0.4</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0.4</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7.1</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14000.0</w:t>
            </w:r>
          </w:p>
        </w:tc>
        <w:tc>
          <w:tcPr>
            <w:tcW w:w="1276" w:type="dxa"/>
            <w:tcBorders>
              <w:top w:val="nil"/>
              <w:left w:val="nil"/>
              <w:bottom w:val="single" w:sz="4" w:space="0" w:color="auto"/>
              <w:right w:val="single" w:sz="4" w:space="0" w:color="auto"/>
            </w:tcBorders>
            <w:shd w:val="clear" w:color="auto" w:fill="auto"/>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6.2</w:t>
            </w:r>
          </w:p>
        </w:tc>
        <w:tc>
          <w:tcPr>
            <w:tcW w:w="109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0.5</w:t>
            </w:r>
          </w:p>
        </w:tc>
        <w:tc>
          <w:tcPr>
            <w:tcW w:w="1659"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0.4</w:t>
            </w:r>
          </w:p>
        </w:tc>
        <w:tc>
          <w:tcPr>
            <w:tcW w:w="1424" w:type="dxa"/>
            <w:tcBorders>
              <w:top w:val="nil"/>
              <w:left w:val="nil"/>
              <w:bottom w:val="single" w:sz="4" w:space="0" w:color="auto"/>
              <w:right w:val="single" w:sz="4" w:space="0" w:color="auto"/>
            </w:tcBorders>
            <w:shd w:val="clear" w:color="auto" w:fill="auto"/>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7.3</w:t>
            </w:r>
          </w:p>
        </w:tc>
      </w:tr>
      <w:tr w:rsidR="00C70BD7" w:rsidRPr="00EE3713" w:rsidTr="00C70BD7">
        <w:trPr>
          <w:trHeight w:val="300"/>
        </w:trPr>
        <w:tc>
          <w:tcPr>
            <w:tcW w:w="941" w:type="dxa"/>
            <w:tcBorders>
              <w:top w:val="nil"/>
              <w:left w:val="single" w:sz="4" w:space="0" w:color="auto"/>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15000.0</w:t>
            </w:r>
          </w:p>
        </w:tc>
        <w:tc>
          <w:tcPr>
            <w:tcW w:w="1276" w:type="dxa"/>
            <w:tcBorders>
              <w:top w:val="nil"/>
              <w:left w:val="nil"/>
              <w:bottom w:val="single" w:sz="4" w:space="0" w:color="auto"/>
              <w:right w:val="single" w:sz="4" w:space="0" w:color="auto"/>
            </w:tcBorders>
            <w:shd w:val="clear" w:color="auto" w:fill="FFC000"/>
            <w:noWrap/>
            <w:vAlign w:val="bottom"/>
            <w:hideMark/>
          </w:tcPr>
          <w:p w:rsidR="00C70BD7" w:rsidRDefault="00C70BD7" w:rsidP="003B6440">
            <w:pPr>
              <w:spacing w:after="0"/>
              <w:jc w:val="center"/>
              <w:rPr>
                <w:rFonts w:ascii="Calibri" w:hAnsi="Calibri"/>
                <w:color w:val="000000"/>
              </w:rPr>
            </w:pPr>
            <w:r>
              <w:rPr>
                <w:rFonts w:ascii="Calibri" w:hAnsi="Calibri"/>
                <w:color w:val="000000"/>
              </w:rPr>
              <w:t>50</w:t>
            </w:r>
          </w:p>
        </w:tc>
        <w:tc>
          <w:tcPr>
            <w:tcW w:w="1007"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5.6</w:t>
            </w:r>
          </w:p>
        </w:tc>
        <w:tc>
          <w:tcPr>
            <w:tcW w:w="1095"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0.2</w:t>
            </w:r>
          </w:p>
        </w:tc>
        <w:tc>
          <w:tcPr>
            <w:tcW w:w="1085"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0.5</w:t>
            </w:r>
          </w:p>
        </w:tc>
        <w:tc>
          <w:tcPr>
            <w:tcW w:w="1659"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0.5</w:t>
            </w:r>
          </w:p>
        </w:tc>
        <w:tc>
          <w:tcPr>
            <w:tcW w:w="1424" w:type="dxa"/>
            <w:tcBorders>
              <w:top w:val="nil"/>
              <w:left w:val="nil"/>
              <w:bottom w:val="single" w:sz="4" w:space="0" w:color="auto"/>
              <w:right w:val="single" w:sz="4" w:space="0" w:color="auto"/>
            </w:tcBorders>
            <w:shd w:val="clear" w:color="auto" w:fill="FFC000"/>
            <w:noWrap/>
            <w:vAlign w:val="bottom"/>
            <w:hideMark/>
          </w:tcPr>
          <w:p w:rsidR="00C70BD7" w:rsidRPr="00EE3713" w:rsidRDefault="00C70BD7" w:rsidP="00EE3713">
            <w:pPr>
              <w:spacing w:after="0" w:line="240" w:lineRule="auto"/>
              <w:jc w:val="center"/>
              <w:rPr>
                <w:rFonts w:ascii="Calibri" w:eastAsia="Times New Roman" w:hAnsi="Calibri" w:cs="Times New Roman"/>
                <w:color w:val="000000"/>
              </w:rPr>
            </w:pPr>
            <w:r w:rsidRPr="00EE3713">
              <w:rPr>
                <w:rFonts w:ascii="Calibri" w:eastAsia="Times New Roman" w:hAnsi="Calibri" w:cs="Times New Roman"/>
                <w:color w:val="000000"/>
              </w:rPr>
              <w:t>6.8</w:t>
            </w:r>
          </w:p>
        </w:tc>
      </w:tr>
    </w:tbl>
    <w:p w:rsidR="00EE3713" w:rsidRDefault="00EE3713" w:rsidP="00570E68">
      <w:pPr>
        <w:rPr>
          <w:b/>
        </w:rPr>
      </w:pPr>
    </w:p>
    <w:p w:rsidR="00C70BD7" w:rsidRDefault="00C70BD7" w:rsidP="00570E68">
      <w:pPr>
        <w:rPr>
          <w:b/>
        </w:rPr>
      </w:pPr>
      <w:r>
        <w:rPr>
          <w:b/>
        </w:rPr>
        <w:t>Note that this matches the datasheet claims</w:t>
      </w:r>
      <w:bookmarkStart w:id="0" w:name="_GoBack"/>
      <w:bookmarkEnd w:id="0"/>
      <w:r>
        <w:rPr>
          <w:b/>
        </w:rPr>
        <w:t xml:space="preserve"> fairly closely.</w:t>
      </w:r>
    </w:p>
    <w:sectPr w:rsidR="00C70B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2747F"/>
    <w:multiLevelType w:val="hybridMultilevel"/>
    <w:tmpl w:val="F566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C9"/>
    <w:rsid w:val="00143002"/>
    <w:rsid w:val="00217C67"/>
    <w:rsid w:val="00440A2E"/>
    <w:rsid w:val="004E0B64"/>
    <w:rsid w:val="00570E68"/>
    <w:rsid w:val="00725465"/>
    <w:rsid w:val="007742CE"/>
    <w:rsid w:val="00941BE6"/>
    <w:rsid w:val="00A26857"/>
    <w:rsid w:val="00A35629"/>
    <w:rsid w:val="00C64B48"/>
    <w:rsid w:val="00C70BD7"/>
    <w:rsid w:val="00C855C9"/>
    <w:rsid w:val="00D92DFF"/>
    <w:rsid w:val="00EE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5C9"/>
    <w:pPr>
      <w:ind w:left="720"/>
      <w:contextualSpacing/>
    </w:pPr>
  </w:style>
  <w:style w:type="paragraph" w:styleId="BalloonText">
    <w:name w:val="Balloon Text"/>
    <w:basedOn w:val="Normal"/>
    <w:link w:val="BalloonTextChar"/>
    <w:uiPriority w:val="99"/>
    <w:semiHidden/>
    <w:unhideWhenUsed/>
    <w:rsid w:val="00C85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5C9"/>
    <w:pPr>
      <w:ind w:left="720"/>
      <w:contextualSpacing/>
    </w:pPr>
  </w:style>
  <w:style w:type="paragraph" w:styleId="BalloonText">
    <w:name w:val="Balloon Text"/>
    <w:basedOn w:val="Normal"/>
    <w:link w:val="BalloonTextChar"/>
    <w:uiPriority w:val="99"/>
    <w:semiHidden/>
    <w:unhideWhenUsed/>
    <w:rsid w:val="00C85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088839">
      <w:bodyDiv w:val="1"/>
      <w:marLeft w:val="0"/>
      <w:marRight w:val="0"/>
      <w:marTop w:val="0"/>
      <w:marBottom w:val="0"/>
      <w:divBdr>
        <w:top w:val="none" w:sz="0" w:space="0" w:color="auto"/>
        <w:left w:val="none" w:sz="0" w:space="0" w:color="auto"/>
        <w:bottom w:val="none" w:sz="0" w:space="0" w:color="auto"/>
        <w:right w:val="none" w:sz="0" w:space="0" w:color="auto"/>
      </w:divBdr>
    </w:div>
    <w:div w:id="1511988531">
      <w:bodyDiv w:val="1"/>
      <w:marLeft w:val="0"/>
      <w:marRight w:val="0"/>
      <w:marTop w:val="0"/>
      <w:marBottom w:val="0"/>
      <w:divBdr>
        <w:top w:val="none" w:sz="0" w:space="0" w:color="auto"/>
        <w:left w:val="none" w:sz="0" w:space="0" w:color="auto"/>
        <w:bottom w:val="none" w:sz="0" w:space="0" w:color="auto"/>
        <w:right w:val="none" w:sz="0" w:space="0" w:color="auto"/>
      </w:divBdr>
    </w:div>
    <w:div w:id="183318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1E574-C6A5-4CB3-95FA-049133C6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4</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Banerjee, Dean</dc:creator>
  <cp:lastModifiedBy>Banerjee, Dean</cp:lastModifiedBy>
  <cp:revision>8</cp:revision>
  <dcterms:created xsi:type="dcterms:W3CDTF">2017-09-11T17:05:00Z</dcterms:created>
  <dcterms:modified xsi:type="dcterms:W3CDTF">2017-11-17T22:03:00Z</dcterms:modified>
</cp:coreProperties>
</file>