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621" w:rsidRDefault="00DB4621" w:rsidP="00DB4621">
      <w:pPr>
        <w:rPr>
          <w:color w:val="1F497D"/>
        </w:rPr>
      </w:pPr>
      <w:r>
        <w:rPr>
          <w:color w:val="1F497D"/>
        </w:rPr>
        <w:t>Skew, fr</w:t>
      </w:r>
      <w:bookmarkStart w:id="0" w:name="_GoBack"/>
      <w:bookmarkEnd w:id="0"/>
      <w:r>
        <w:rPr>
          <w:color w:val="1F497D"/>
        </w:rPr>
        <w:t>o</w:t>
      </w:r>
      <w:r>
        <w:rPr>
          <w:color w:val="1F497D"/>
        </w:rPr>
        <w:t xml:space="preserve">m CD clock rise to AB clock rising edge </w:t>
      </w:r>
      <w:r>
        <w:rPr>
          <w:color w:val="1F497D"/>
        </w:rPr>
        <w:t xml:space="preserve">(ns), measured at 250MSPS, </w:t>
      </w:r>
      <w:proofErr w:type="gramStart"/>
      <w:r>
        <w:rPr>
          <w:color w:val="1F497D"/>
        </w:rPr>
        <w:t>is</w:t>
      </w:r>
      <w:proofErr w:type="gramEnd"/>
      <w:r>
        <w:rPr>
          <w:color w:val="1F497D"/>
        </w:rPr>
        <w:t xml:space="preserve"> given in table below.</w:t>
      </w:r>
    </w:p>
    <w:p w:rsidR="00DB4621" w:rsidRDefault="00DB4621" w:rsidP="00DB4621">
      <w:pPr>
        <w:rPr>
          <w:color w:val="1F497D"/>
        </w:rPr>
      </w:pPr>
    </w:p>
    <w:tbl>
      <w:tblPr>
        <w:tblW w:w="0" w:type="auto"/>
        <w:tblCellMar>
          <w:left w:w="0" w:type="dxa"/>
          <w:right w:w="0" w:type="dxa"/>
        </w:tblCellMar>
        <w:tblLook w:val="04A0" w:firstRow="1" w:lastRow="0" w:firstColumn="1" w:lastColumn="0" w:noHBand="0" w:noVBand="1"/>
      </w:tblPr>
      <w:tblGrid>
        <w:gridCol w:w="1796"/>
        <w:gridCol w:w="2315"/>
        <w:gridCol w:w="1004"/>
        <w:gridCol w:w="1637"/>
      </w:tblGrid>
      <w:tr w:rsidR="00DB4621" w:rsidTr="00DB4621">
        <w:trPr>
          <w:trHeight w:val="198"/>
        </w:trPr>
        <w:tc>
          <w:tcPr>
            <w:tcW w:w="179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DB4621" w:rsidRDefault="00DB4621">
            <w:pPr>
              <w:jc w:val="center"/>
              <w:rPr>
                <w:color w:val="1F497D"/>
              </w:rPr>
            </w:pPr>
          </w:p>
        </w:tc>
        <w:tc>
          <w:tcPr>
            <w:tcW w:w="4956"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DB4621" w:rsidRDefault="00DB4621">
            <w:pPr>
              <w:jc w:val="center"/>
              <w:rPr>
                <w:color w:val="1F497D"/>
              </w:rPr>
            </w:pPr>
            <w:r>
              <w:rPr>
                <w:color w:val="1F497D"/>
              </w:rPr>
              <w:t>Temp, C</w:t>
            </w:r>
          </w:p>
        </w:tc>
      </w:tr>
      <w:tr w:rsidR="00DB4621" w:rsidTr="00DB4621">
        <w:trPr>
          <w:trHeight w:val="198"/>
        </w:trPr>
        <w:tc>
          <w:tcPr>
            <w:tcW w:w="17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B4621" w:rsidRDefault="00DB4621">
            <w:pPr>
              <w:jc w:val="center"/>
              <w:rPr>
                <w:color w:val="1F497D"/>
              </w:rPr>
            </w:pPr>
            <w:proofErr w:type="spellStart"/>
            <w:r>
              <w:rPr>
                <w:color w:val="1F497D"/>
              </w:rPr>
              <w:t>Dvdd,V</w:t>
            </w:r>
            <w:proofErr w:type="spellEnd"/>
          </w:p>
        </w:tc>
        <w:tc>
          <w:tcPr>
            <w:tcW w:w="2315" w:type="dxa"/>
            <w:tcBorders>
              <w:top w:val="nil"/>
              <w:left w:val="nil"/>
              <w:bottom w:val="single" w:sz="8" w:space="0" w:color="auto"/>
              <w:right w:val="single" w:sz="8" w:space="0" w:color="auto"/>
            </w:tcBorders>
            <w:noWrap/>
            <w:tcMar>
              <w:top w:w="0" w:type="dxa"/>
              <w:left w:w="108" w:type="dxa"/>
              <w:bottom w:w="0" w:type="dxa"/>
              <w:right w:w="108" w:type="dxa"/>
            </w:tcMar>
            <w:hideMark/>
          </w:tcPr>
          <w:p w:rsidR="00DB4621" w:rsidRDefault="00DB4621">
            <w:pPr>
              <w:jc w:val="center"/>
              <w:rPr>
                <w:color w:val="1F497D"/>
              </w:rPr>
            </w:pPr>
            <w:r>
              <w:rPr>
                <w:color w:val="1F497D"/>
              </w:rPr>
              <w:t>-40</w:t>
            </w:r>
          </w:p>
        </w:tc>
        <w:tc>
          <w:tcPr>
            <w:tcW w:w="1004" w:type="dxa"/>
            <w:tcBorders>
              <w:top w:val="nil"/>
              <w:left w:val="nil"/>
              <w:bottom w:val="single" w:sz="8" w:space="0" w:color="auto"/>
              <w:right w:val="single" w:sz="8" w:space="0" w:color="auto"/>
            </w:tcBorders>
            <w:noWrap/>
            <w:tcMar>
              <w:top w:w="0" w:type="dxa"/>
              <w:left w:w="108" w:type="dxa"/>
              <w:bottom w:w="0" w:type="dxa"/>
              <w:right w:w="108" w:type="dxa"/>
            </w:tcMar>
            <w:hideMark/>
          </w:tcPr>
          <w:p w:rsidR="00DB4621" w:rsidRDefault="00DB4621">
            <w:pPr>
              <w:jc w:val="center"/>
              <w:rPr>
                <w:color w:val="1F497D"/>
              </w:rPr>
            </w:pPr>
            <w:r>
              <w:rPr>
                <w:color w:val="1F497D"/>
              </w:rPr>
              <w:t>25</w:t>
            </w:r>
          </w:p>
        </w:tc>
        <w:tc>
          <w:tcPr>
            <w:tcW w:w="1637" w:type="dxa"/>
            <w:tcBorders>
              <w:top w:val="nil"/>
              <w:left w:val="nil"/>
              <w:bottom w:val="single" w:sz="8" w:space="0" w:color="auto"/>
              <w:right w:val="single" w:sz="8" w:space="0" w:color="auto"/>
            </w:tcBorders>
            <w:noWrap/>
            <w:tcMar>
              <w:top w:w="0" w:type="dxa"/>
              <w:left w:w="108" w:type="dxa"/>
              <w:bottom w:w="0" w:type="dxa"/>
              <w:right w:w="108" w:type="dxa"/>
            </w:tcMar>
            <w:hideMark/>
          </w:tcPr>
          <w:p w:rsidR="00DB4621" w:rsidRDefault="00DB4621">
            <w:pPr>
              <w:jc w:val="center"/>
              <w:rPr>
                <w:color w:val="1F497D"/>
              </w:rPr>
            </w:pPr>
            <w:r>
              <w:rPr>
                <w:color w:val="1F497D"/>
              </w:rPr>
              <w:t>85</w:t>
            </w:r>
          </w:p>
        </w:tc>
      </w:tr>
      <w:tr w:rsidR="00DB4621" w:rsidTr="00DB4621">
        <w:trPr>
          <w:trHeight w:val="198"/>
        </w:trPr>
        <w:tc>
          <w:tcPr>
            <w:tcW w:w="17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B4621" w:rsidRDefault="00DB4621">
            <w:pPr>
              <w:jc w:val="center"/>
              <w:rPr>
                <w:color w:val="1F497D"/>
              </w:rPr>
            </w:pPr>
            <w:r>
              <w:rPr>
                <w:color w:val="1F497D"/>
              </w:rPr>
              <w:t>1.816</w:t>
            </w:r>
          </w:p>
        </w:tc>
        <w:tc>
          <w:tcPr>
            <w:tcW w:w="2315" w:type="dxa"/>
            <w:tcBorders>
              <w:top w:val="nil"/>
              <w:left w:val="nil"/>
              <w:bottom w:val="single" w:sz="8" w:space="0" w:color="auto"/>
              <w:right w:val="single" w:sz="8" w:space="0" w:color="auto"/>
            </w:tcBorders>
            <w:noWrap/>
            <w:tcMar>
              <w:top w:w="0" w:type="dxa"/>
              <w:left w:w="108" w:type="dxa"/>
              <w:bottom w:w="0" w:type="dxa"/>
              <w:right w:w="108" w:type="dxa"/>
            </w:tcMar>
            <w:hideMark/>
          </w:tcPr>
          <w:p w:rsidR="00DB4621" w:rsidRDefault="00DB4621">
            <w:pPr>
              <w:jc w:val="center"/>
              <w:rPr>
                <w:color w:val="1F497D"/>
              </w:rPr>
            </w:pPr>
            <w:r>
              <w:rPr>
                <w:color w:val="1F497D"/>
              </w:rPr>
              <w:t>0.25</w:t>
            </w:r>
          </w:p>
        </w:tc>
        <w:tc>
          <w:tcPr>
            <w:tcW w:w="1004" w:type="dxa"/>
            <w:tcBorders>
              <w:top w:val="nil"/>
              <w:left w:val="nil"/>
              <w:bottom w:val="single" w:sz="8" w:space="0" w:color="auto"/>
              <w:right w:val="single" w:sz="8" w:space="0" w:color="auto"/>
            </w:tcBorders>
            <w:noWrap/>
            <w:tcMar>
              <w:top w:w="0" w:type="dxa"/>
              <w:left w:w="108" w:type="dxa"/>
              <w:bottom w:w="0" w:type="dxa"/>
              <w:right w:w="108" w:type="dxa"/>
            </w:tcMar>
            <w:hideMark/>
          </w:tcPr>
          <w:p w:rsidR="00DB4621" w:rsidRDefault="00DB4621">
            <w:pPr>
              <w:jc w:val="center"/>
              <w:rPr>
                <w:color w:val="1F497D"/>
              </w:rPr>
            </w:pPr>
            <w:r>
              <w:rPr>
                <w:color w:val="1F497D"/>
              </w:rPr>
              <w:t>0.213</w:t>
            </w:r>
          </w:p>
        </w:tc>
        <w:tc>
          <w:tcPr>
            <w:tcW w:w="1637" w:type="dxa"/>
            <w:tcBorders>
              <w:top w:val="nil"/>
              <w:left w:val="nil"/>
              <w:bottom w:val="single" w:sz="8" w:space="0" w:color="auto"/>
              <w:right w:val="single" w:sz="8" w:space="0" w:color="auto"/>
            </w:tcBorders>
            <w:noWrap/>
            <w:tcMar>
              <w:top w:w="0" w:type="dxa"/>
              <w:left w:w="108" w:type="dxa"/>
              <w:bottom w:w="0" w:type="dxa"/>
              <w:right w:w="108" w:type="dxa"/>
            </w:tcMar>
            <w:hideMark/>
          </w:tcPr>
          <w:p w:rsidR="00DB4621" w:rsidRDefault="00DB4621">
            <w:pPr>
              <w:jc w:val="center"/>
              <w:rPr>
                <w:color w:val="1F497D"/>
              </w:rPr>
            </w:pPr>
            <w:r>
              <w:rPr>
                <w:color w:val="1F497D"/>
              </w:rPr>
              <w:t>0.077056</w:t>
            </w:r>
          </w:p>
        </w:tc>
      </w:tr>
      <w:tr w:rsidR="00DB4621" w:rsidTr="00DB4621">
        <w:trPr>
          <w:trHeight w:val="198"/>
        </w:trPr>
        <w:tc>
          <w:tcPr>
            <w:tcW w:w="17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B4621" w:rsidRDefault="00DB4621">
            <w:pPr>
              <w:jc w:val="center"/>
              <w:rPr>
                <w:color w:val="1F497D"/>
              </w:rPr>
            </w:pPr>
            <w:r>
              <w:rPr>
                <w:color w:val="1F497D"/>
              </w:rPr>
              <w:t>1.916</w:t>
            </w:r>
          </w:p>
        </w:tc>
        <w:tc>
          <w:tcPr>
            <w:tcW w:w="2315" w:type="dxa"/>
            <w:tcBorders>
              <w:top w:val="nil"/>
              <w:left w:val="nil"/>
              <w:bottom w:val="single" w:sz="8" w:space="0" w:color="auto"/>
              <w:right w:val="single" w:sz="8" w:space="0" w:color="auto"/>
            </w:tcBorders>
            <w:noWrap/>
            <w:tcMar>
              <w:top w:w="0" w:type="dxa"/>
              <w:left w:w="108" w:type="dxa"/>
              <w:bottom w:w="0" w:type="dxa"/>
              <w:right w:w="108" w:type="dxa"/>
            </w:tcMar>
            <w:hideMark/>
          </w:tcPr>
          <w:p w:rsidR="00DB4621" w:rsidRDefault="00DB4621">
            <w:pPr>
              <w:jc w:val="center"/>
              <w:rPr>
                <w:color w:val="1F497D"/>
              </w:rPr>
            </w:pPr>
            <w:r>
              <w:rPr>
                <w:color w:val="1F497D"/>
              </w:rPr>
              <w:t>0.239</w:t>
            </w:r>
          </w:p>
        </w:tc>
        <w:tc>
          <w:tcPr>
            <w:tcW w:w="1004" w:type="dxa"/>
            <w:tcBorders>
              <w:top w:val="nil"/>
              <w:left w:val="nil"/>
              <w:bottom w:val="single" w:sz="8" w:space="0" w:color="auto"/>
              <w:right w:val="single" w:sz="8" w:space="0" w:color="auto"/>
            </w:tcBorders>
            <w:noWrap/>
            <w:tcMar>
              <w:top w:w="0" w:type="dxa"/>
              <w:left w:w="108" w:type="dxa"/>
              <w:bottom w:w="0" w:type="dxa"/>
              <w:right w:w="108" w:type="dxa"/>
            </w:tcMar>
            <w:hideMark/>
          </w:tcPr>
          <w:p w:rsidR="00DB4621" w:rsidRDefault="00DB4621">
            <w:pPr>
              <w:jc w:val="center"/>
              <w:rPr>
                <w:color w:val="1F497D"/>
              </w:rPr>
            </w:pPr>
            <w:r>
              <w:rPr>
                <w:color w:val="1F497D"/>
              </w:rPr>
              <w:t>0.202</w:t>
            </w:r>
          </w:p>
        </w:tc>
        <w:tc>
          <w:tcPr>
            <w:tcW w:w="1637" w:type="dxa"/>
            <w:tcBorders>
              <w:top w:val="nil"/>
              <w:left w:val="nil"/>
              <w:bottom w:val="single" w:sz="8" w:space="0" w:color="auto"/>
              <w:right w:val="single" w:sz="8" w:space="0" w:color="auto"/>
            </w:tcBorders>
            <w:noWrap/>
            <w:tcMar>
              <w:top w:w="0" w:type="dxa"/>
              <w:left w:w="108" w:type="dxa"/>
              <w:bottom w:w="0" w:type="dxa"/>
              <w:right w:w="108" w:type="dxa"/>
            </w:tcMar>
            <w:hideMark/>
          </w:tcPr>
          <w:p w:rsidR="00DB4621" w:rsidRDefault="00DB4621">
            <w:pPr>
              <w:jc w:val="center"/>
              <w:rPr>
                <w:color w:val="1F497D"/>
              </w:rPr>
            </w:pPr>
            <w:r>
              <w:rPr>
                <w:color w:val="1F497D"/>
              </w:rPr>
              <w:t>0.065736</w:t>
            </w:r>
          </w:p>
        </w:tc>
      </w:tr>
      <w:tr w:rsidR="00DB4621" w:rsidTr="00DB4621">
        <w:trPr>
          <w:trHeight w:val="198"/>
        </w:trPr>
        <w:tc>
          <w:tcPr>
            <w:tcW w:w="17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B4621" w:rsidRDefault="00DB4621">
            <w:pPr>
              <w:jc w:val="center"/>
              <w:rPr>
                <w:color w:val="1F497D"/>
              </w:rPr>
            </w:pPr>
            <w:r>
              <w:rPr>
                <w:color w:val="1F497D"/>
              </w:rPr>
              <w:t>2.016</w:t>
            </w:r>
          </w:p>
        </w:tc>
        <w:tc>
          <w:tcPr>
            <w:tcW w:w="2315" w:type="dxa"/>
            <w:tcBorders>
              <w:top w:val="nil"/>
              <w:left w:val="nil"/>
              <w:bottom w:val="single" w:sz="8" w:space="0" w:color="auto"/>
              <w:right w:val="single" w:sz="8" w:space="0" w:color="auto"/>
            </w:tcBorders>
            <w:noWrap/>
            <w:tcMar>
              <w:top w:w="0" w:type="dxa"/>
              <w:left w:w="108" w:type="dxa"/>
              <w:bottom w:w="0" w:type="dxa"/>
              <w:right w:w="108" w:type="dxa"/>
            </w:tcMar>
            <w:hideMark/>
          </w:tcPr>
          <w:p w:rsidR="00DB4621" w:rsidRDefault="00DB4621">
            <w:pPr>
              <w:jc w:val="center"/>
              <w:rPr>
                <w:color w:val="1F497D"/>
              </w:rPr>
            </w:pPr>
            <w:r>
              <w:rPr>
                <w:color w:val="1F497D"/>
              </w:rPr>
              <w:t>0.2996</w:t>
            </w:r>
          </w:p>
        </w:tc>
        <w:tc>
          <w:tcPr>
            <w:tcW w:w="1004" w:type="dxa"/>
            <w:tcBorders>
              <w:top w:val="nil"/>
              <w:left w:val="nil"/>
              <w:bottom w:val="single" w:sz="8" w:space="0" w:color="auto"/>
              <w:right w:val="single" w:sz="8" w:space="0" w:color="auto"/>
            </w:tcBorders>
            <w:noWrap/>
            <w:tcMar>
              <w:top w:w="0" w:type="dxa"/>
              <w:left w:w="108" w:type="dxa"/>
              <w:bottom w:w="0" w:type="dxa"/>
              <w:right w:w="108" w:type="dxa"/>
            </w:tcMar>
            <w:hideMark/>
          </w:tcPr>
          <w:p w:rsidR="00DB4621" w:rsidRDefault="00DB4621">
            <w:pPr>
              <w:jc w:val="center"/>
              <w:rPr>
                <w:color w:val="1F497D"/>
              </w:rPr>
            </w:pPr>
            <w:r>
              <w:rPr>
                <w:color w:val="1F497D"/>
              </w:rPr>
              <w:t>0.203</w:t>
            </w:r>
          </w:p>
        </w:tc>
        <w:tc>
          <w:tcPr>
            <w:tcW w:w="1637" w:type="dxa"/>
            <w:tcBorders>
              <w:top w:val="nil"/>
              <w:left w:val="nil"/>
              <w:bottom w:val="single" w:sz="8" w:space="0" w:color="auto"/>
              <w:right w:val="single" w:sz="8" w:space="0" w:color="auto"/>
            </w:tcBorders>
            <w:noWrap/>
            <w:tcMar>
              <w:top w:w="0" w:type="dxa"/>
              <w:left w:w="108" w:type="dxa"/>
              <w:bottom w:w="0" w:type="dxa"/>
              <w:right w:w="108" w:type="dxa"/>
            </w:tcMar>
            <w:hideMark/>
          </w:tcPr>
          <w:p w:rsidR="00DB4621" w:rsidRDefault="00DB4621">
            <w:pPr>
              <w:jc w:val="center"/>
              <w:rPr>
                <w:color w:val="1F497D"/>
              </w:rPr>
            </w:pPr>
            <w:r>
              <w:rPr>
                <w:color w:val="1F497D"/>
              </w:rPr>
              <w:t>0.045172</w:t>
            </w:r>
          </w:p>
        </w:tc>
      </w:tr>
    </w:tbl>
    <w:p w:rsidR="00DB4621" w:rsidRDefault="00DB4621" w:rsidP="00DB4621">
      <w:pPr>
        <w:rPr>
          <w:color w:val="1F497D"/>
        </w:rPr>
      </w:pPr>
      <w:r>
        <w:rPr>
          <w:color w:val="1F497D"/>
        </w:rPr>
        <w:t>Other supplies (AVDD3V and AVDD) were kept at 3.3V and 1.9V respectively.</w:t>
      </w:r>
    </w:p>
    <w:p w:rsidR="00DB4621" w:rsidRDefault="00DB4621" w:rsidP="00DB4621">
      <w:pPr>
        <w:rPr>
          <w:color w:val="1F497D"/>
        </w:rPr>
      </w:pPr>
    </w:p>
    <w:p w:rsidR="00C074FB" w:rsidRDefault="00C074FB"/>
    <w:p w:rsidR="00DB4621" w:rsidRDefault="00DB4621" w:rsidP="00DB4621">
      <w:pPr>
        <w:rPr>
          <w:color w:val="1F497D"/>
        </w:rPr>
      </w:pPr>
      <w:r>
        <w:rPr>
          <w:color w:val="1F497D"/>
        </w:rPr>
        <w:t>W</w:t>
      </w:r>
      <w:r>
        <w:rPr>
          <w:color w:val="1F497D"/>
        </w:rPr>
        <w:t>hat is important for the latching (Rx) device is ‘from the active edge of the output clock of ADC, how much setup and hold time is available to latch ADC’s output data’.</w:t>
      </w:r>
    </w:p>
    <w:p w:rsidR="00DB4621" w:rsidRDefault="00DB4621" w:rsidP="00DB4621">
      <w:pPr>
        <w:rPr>
          <w:color w:val="1F497D"/>
        </w:rPr>
      </w:pPr>
      <w:r>
        <w:rPr>
          <w:color w:val="1F497D"/>
        </w:rPr>
        <w:t>Datasheet gives this information in time characteristics table (for 250MSPS output clock).</w:t>
      </w:r>
    </w:p>
    <w:p w:rsidR="00DB4621" w:rsidRDefault="00DB4621" w:rsidP="00DB4621">
      <w:pPr>
        <w:rPr>
          <w:color w:val="1F497D"/>
        </w:rPr>
      </w:pPr>
      <w:r>
        <w:rPr>
          <w:noProof/>
        </w:rPr>
        <w:drawing>
          <wp:inline distT="0" distB="0" distL="0" distR="0">
            <wp:extent cx="8105775" cy="657225"/>
            <wp:effectExtent l="0" t="0" r="9525" b="9525"/>
            <wp:docPr id="3" name="Picture 3" descr="cid:image002.png@01D3DC9A.B9EDA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3DC9A.B9EDA57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8105775" cy="657225"/>
                    </a:xfrm>
                    <a:prstGeom prst="rect">
                      <a:avLst/>
                    </a:prstGeom>
                    <a:noFill/>
                    <a:ln>
                      <a:noFill/>
                    </a:ln>
                  </pic:spPr>
                </pic:pic>
              </a:graphicData>
            </a:graphic>
          </wp:inline>
        </w:drawing>
      </w:r>
    </w:p>
    <w:p w:rsidR="00DB4621" w:rsidRDefault="00DB4621" w:rsidP="00DB4621">
      <w:pPr>
        <w:rPr>
          <w:color w:val="1F497D"/>
        </w:rPr>
      </w:pPr>
      <w:r>
        <w:rPr>
          <w:noProof/>
        </w:rPr>
        <w:drawing>
          <wp:inline distT="0" distB="0" distL="0" distR="0">
            <wp:extent cx="8029575" cy="314325"/>
            <wp:effectExtent l="0" t="0" r="9525" b="9525"/>
            <wp:docPr id="2" name="Picture 2" descr="cid:image004.png@01D3DC9C.DD755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png@01D3DC9C.DD75572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029575" cy="314325"/>
                    </a:xfrm>
                    <a:prstGeom prst="rect">
                      <a:avLst/>
                    </a:prstGeom>
                    <a:noFill/>
                    <a:ln>
                      <a:noFill/>
                    </a:ln>
                  </pic:spPr>
                </pic:pic>
              </a:graphicData>
            </a:graphic>
          </wp:inline>
        </w:drawing>
      </w:r>
    </w:p>
    <w:p w:rsidR="00DB4621" w:rsidRDefault="00DB4621" w:rsidP="00DB4621">
      <w:pPr>
        <w:rPr>
          <w:color w:val="1F497D"/>
        </w:rPr>
      </w:pPr>
    </w:p>
    <w:p w:rsidR="00DB4621" w:rsidRDefault="00DB4621" w:rsidP="00DB4621">
      <w:pPr>
        <w:rPr>
          <w:color w:val="1F497D"/>
        </w:rPr>
      </w:pPr>
      <w:r>
        <w:rPr>
          <w:color w:val="1F497D"/>
        </w:rPr>
        <w:t>Dedicated output clocks are available for a pair of channel (channel AB, and Channel CD). These clock</w:t>
      </w:r>
      <w:r>
        <w:rPr>
          <w:color w:val="1F497D"/>
        </w:rPr>
        <w:t>s</w:t>
      </w:r>
      <w:r>
        <w:rPr>
          <w:color w:val="1F497D"/>
        </w:rPr>
        <w:t xml:space="preserve"> must be used to capture corresponding channel’s data in FPGA.</w:t>
      </w:r>
    </w:p>
    <w:p w:rsidR="00DB4621" w:rsidRDefault="00DB4621" w:rsidP="00DB4621">
      <w:pPr>
        <w:rPr>
          <w:color w:val="1F497D"/>
        </w:rPr>
      </w:pPr>
    </w:p>
    <w:p w:rsidR="00DB4621" w:rsidRDefault="00DB4621" w:rsidP="00DB4621">
      <w:pPr>
        <w:rPr>
          <w:color w:val="1F497D"/>
        </w:rPr>
      </w:pPr>
      <w:r>
        <w:rPr>
          <w:color w:val="1F497D"/>
        </w:rPr>
        <w:t>The setup and hold time values specified in datasheet are applicable to all four channels w</w:t>
      </w:r>
      <w:r>
        <w:rPr>
          <w:color w:val="1F497D"/>
        </w:rPr>
        <w:t xml:space="preserve">ith </w:t>
      </w:r>
      <w:r>
        <w:rPr>
          <w:color w:val="1F497D"/>
        </w:rPr>
        <w:t>r</w:t>
      </w:r>
      <w:r>
        <w:rPr>
          <w:color w:val="1F497D"/>
        </w:rPr>
        <w:t xml:space="preserve">espect </w:t>
      </w:r>
      <w:r>
        <w:rPr>
          <w:color w:val="1F497D"/>
        </w:rPr>
        <w:t>t</w:t>
      </w:r>
      <w:r>
        <w:rPr>
          <w:color w:val="1F497D"/>
        </w:rPr>
        <w:t>o</w:t>
      </w:r>
      <w:r>
        <w:rPr>
          <w:color w:val="1F497D"/>
        </w:rPr>
        <w:t xml:space="preserve"> their corresponding output clock.</w:t>
      </w:r>
    </w:p>
    <w:p w:rsidR="00DB4621" w:rsidRDefault="00DB4621" w:rsidP="00DB4621">
      <w:pPr>
        <w:rPr>
          <w:color w:val="1F497D"/>
        </w:rPr>
      </w:pPr>
    </w:p>
    <w:p w:rsidR="00DB4621" w:rsidRDefault="00DB4621" w:rsidP="00DB4621">
      <w:pPr>
        <w:rPr>
          <w:color w:val="1F497D"/>
        </w:rPr>
      </w:pPr>
      <w:r>
        <w:rPr>
          <w:color w:val="1F497D"/>
        </w:rPr>
        <w:t>Customer should use min values of setup and hold time while making timing budget in FPGA.</w:t>
      </w:r>
    </w:p>
    <w:p w:rsidR="00DB4621" w:rsidRDefault="00DB4621" w:rsidP="00DB4621">
      <w:pPr>
        <w:rPr>
          <w:color w:val="1F497D"/>
        </w:rPr>
      </w:pPr>
    </w:p>
    <w:p w:rsidR="00DB4621" w:rsidRDefault="00DB4621" w:rsidP="00DB4621">
      <w:pPr>
        <w:rPr>
          <w:color w:val="1F497D"/>
        </w:rPr>
      </w:pPr>
      <w:r>
        <w:rPr>
          <w:color w:val="1F497D"/>
        </w:rPr>
        <w:t xml:space="preserve">For output timing at 192MSPS, </w:t>
      </w:r>
      <w:r>
        <w:rPr>
          <w:color w:val="1F497D"/>
        </w:rPr>
        <w:t>t</w:t>
      </w:r>
      <w:r>
        <w:rPr>
          <w:color w:val="1F497D"/>
        </w:rPr>
        <w:t>he</w:t>
      </w:r>
      <w:r>
        <w:rPr>
          <w:color w:val="1F497D"/>
        </w:rPr>
        <w:t>y</w:t>
      </w:r>
      <w:r>
        <w:rPr>
          <w:color w:val="1F497D"/>
        </w:rPr>
        <w:t xml:space="preserve"> may refer to table 1 of datasheet (applies same register settings to delay the output clock for table above).</w:t>
      </w:r>
    </w:p>
    <w:p w:rsidR="00DB4621" w:rsidRDefault="00DB4621" w:rsidP="00DB4621">
      <w:pPr>
        <w:rPr>
          <w:color w:val="1F497D"/>
        </w:rPr>
      </w:pPr>
    </w:p>
    <w:p w:rsidR="00DB4621" w:rsidRDefault="00DB4621" w:rsidP="00DB4621">
      <w:pPr>
        <w:rPr>
          <w:color w:val="1F497D"/>
        </w:rPr>
      </w:pPr>
      <w:r>
        <w:rPr>
          <w:noProof/>
        </w:rPr>
        <w:drawing>
          <wp:inline distT="0" distB="0" distL="0" distR="0">
            <wp:extent cx="5915025" cy="857250"/>
            <wp:effectExtent l="0" t="0" r="9525" b="0"/>
            <wp:docPr id="1" name="Picture 1" descr="cid:image006.jpg@01D3DC9C.DD755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6.jpg@01D3DC9C.DD75572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915025" cy="857250"/>
                    </a:xfrm>
                    <a:prstGeom prst="rect">
                      <a:avLst/>
                    </a:prstGeom>
                    <a:noFill/>
                    <a:ln>
                      <a:noFill/>
                    </a:ln>
                  </pic:spPr>
                </pic:pic>
              </a:graphicData>
            </a:graphic>
          </wp:inline>
        </w:drawing>
      </w:r>
    </w:p>
    <w:p w:rsidR="00DB4621" w:rsidRDefault="00DB4621" w:rsidP="00DB4621">
      <w:pPr>
        <w:rPr>
          <w:color w:val="1F497D"/>
        </w:rPr>
      </w:pPr>
    </w:p>
    <w:p w:rsidR="00DB4621" w:rsidRDefault="00DB4621" w:rsidP="00DB4621">
      <w:pPr>
        <w:rPr>
          <w:color w:val="1F497D"/>
        </w:rPr>
      </w:pPr>
    </w:p>
    <w:p w:rsidR="00DB4621" w:rsidRDefault="00DB4621" w:rsidP="00DB4621">
      <w:pPr>
        <w:rPr>
          <w:color w:val="1F497D"/>
        </w:rPr>
      </w:pPr>
    </w:p>
    <w:p w:rsidR="00DB4621" w:rsidRDefault="00DB4621" w:rsidP="00DB4621">
      <w:pPr>
        <w:rPr>
          <w:color w:val="1F497D"/>
        </w:rPr>
      </w:pPr>
      <w:r>
        <w:rPr>
          <w:color w:val="1F497D"/>
        </w:rPr>
        <w:t xml:space="preserve">Using this information, the approximate values of setup and hold time (min and </w:t>
      </w:r>
      <w:proofErr w:type="spellStart"/>
      <w:r>
        <w:rPr>
          <w:color w:val="1F497D"/>
        </w:rPr>
        <w:t>typ</w:t>
      </w:r>
      <w:proofErr w:type="spellEnd"/>
      <w:r>
        <w:rPr>
          <w:color w:val="1F497D"/>
        </w:rPr>
        <w:t>) are given below:</w:t>
      </w:r>
    </w:p>
    <w:tbl>
      <w:tblPr>
        <w:tblW w:w="0" w:type="auto"/>
        <w:tblCellMar>
          <w:left w:w="0" w:type="dxa"/>
          <w:right w:w="0" w:type="dxa"/>
        </w:tblCellMar>
        <w:tblLook w:val="04A0" w:firstRow="1" w:lastRow="0" w:firstColumn="1" w:lastColumn="0" w:noHBand="0" w:noVBand="1"/>
      </w:tblPr>
      <w:tblGrid>
        <w:gridCol w:w="1251"/>
        <w:gridCol w:w="1769"/>
        <w:gridCol w:w="1302"/>
        <w:gridCol w:w="1200"/>
        <w:gridCol w:w="1272"/>
        <w:gridCol w:w="1230"/>
      </w:tblGrid>
      <w:tr w:rsidR="00DB4621" w:rsidTr="00DB4621">
        <w:trPr>
          <w:trHeight w:val="256"/>
        </w:trPr>
        <w:tc>
          <w:tcPr>
            <w:tcW w:w="125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DB4621" w:rsidRDefault="00DB4621">
            <w:pPr>
              <w:rPr>
                <w:rFonts w:ascii="Times New Roman" w:eastAsia="Times New Roman" w:hAnsi="Times New Roman" w:cs="Times New Roman"/>
                <w:sz w:val="20"/>
                <w:szCs w:val="20"/>
              </w:rPr>
            </w:pPr>
          </w:p>
        </w:tc>
        <w:tc>
          <w:tcPr>
            <w:tcW w:w="1769"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DB4621" w:rsidRDefault="00DB4621">
            <w:pPr>
              <w:rPr>
                <w:rFonts w:ascii="Times New Roman" w:eastAsia="Times New Roman" w:hAnsi="Times New Roman" w:cs="Times New Roman"/>
                <w:sz w:val="20"/>
                <w:szCs w:val="20"/>
              </w:rPr>
            </w:pPr>
          </w:p>
        </w:tc>
        <w:tc>
          <w:tcPr>
            <w:tcW w:w="2502"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DB4621" w:rsidRDefault="00DB4621">
            <w:pPr>
              <w:rPr>
                <w:color w:val="1F497D"/>
              </w:rPr>
            </w:pPr>
            <w:proofErr w:type="spellStart"/>
            <w:r>
              <w:rPr>
                <w:color w:val="1F497D"/>
              </w:rPr>
              <w:t>setup,ns</w:t>
            </w:r>
            <w:proofErr w:type="spellEnd"/>
          </w:p>
        </w:tc>
        <w:tc>
          <w:tcPr>
            <w:tcW w:w="2502"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DB4621" w:rsidRDefault="00DB4621">
            <w:pPr>
              <w:rPr>
                <w:color w:val="1F497D"/>
              </w:rPr>
            </w:pPr>
            <w:proofErr w:type="spellStart"/>
            <w:r>
              <w:rPr>
                <w:color w:val="1F497D"/>
              </w:rPr>
              <w:t>hold,ns</w:t>
            </w:r>
            <w:proofErr w:type="spellEnd"/>
          </w:p>
        </w:tc>
      </w:tr>
      <w:tr w:rsidR="00DB4621" w:rsidTr="00DB4621">
        <w:trPr>
          <w:trHeight w:val="256"/>
        </w:trPr>
        <w:tc>
          <w:tcPr>
            <w:tcW w:w="125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B4621" w:rsidRDefault="00DB4621">
            <w:pPr>
              <w:rPr>
                <w:color w:val="1F497D"/>
              </w:rPr>
            </w:pPr>
            <w:proofErr w:type="spellStart"/>
            <w:r>
              <w:rPr>
                <w:color w:val="1F497D"/>
              </w:rPr>
              <w:t>fs,MSPS</w:t>
            </w:r>
            <w:proofErr w:type="spellEnd"/>
          </w:p>
        </w:tc>
        <w:tc>
          <w:tcPr>
            <w:tcW w:w="1769" w:type="dxa"/>
            <w:tcBorders>
              <w:top w:val="nil"/>
              <w:left w:val="nil"/>
              <w:bottom w:val="single" w:sz="8" w:space="0" w:color="auto"/>
              <w:right w:val="single" w:sz="8" w:space="0" w:color="auto"/>
            </w:tcBorders>
            <w:noWrap/>
            <w:tcMar>
              <w:top w:w="0" w:type="dxa"/>
              <w:left w:w="108" w:type="dxa"/>
              <w:bottom w:w="0" w:type="dxa"/>
              <w:right w:w="108" w:type="dxa"/>
            </w:tcMar>
            <w:hideMark/>
          </w:tcPr>
          <w:p w:rsidR="00DB4621" w:rsidRDefault="00DB4621">
            <w:pPr>
              <w:rPr>
                <w:color w:val="1F497D"/>
              </w:rPr>
            </w:pPr>
            <w:proofErr w:type="spellStart"/>
            <w:r>
              <w:rPr>
                <w:color w:val="1F497D"/>
              </w:rPr>
              <w:t>ts</w:t>
            </w:r>
            <w:proofErr w:type="spellEnd"/>
            <w:r>
              <w:rPr>
                <w:color w:val="1F497D"/>
              </w:rPr>
              <w:t>, ns</w:t>
            </w:r>
          </w:p>
        </w:tc>
        <w:tc>
          <w:tcPr>
            <w:tcW w:w="1302" w:type="dxa"/>
            <w:tcBorders>
              <w:top w:val="nil"/>
              <w:left w:val="nil"/>
              <w:bottom w:val="single" w:sz="8" w:space="0" w:color="auto"/>
              <w:right w:val="single" w:sz="8" w:space="0" w:color="auto"/>
            </w:tcBorders>
            <w:noWrap/>
            <w:tcMar>
              <w:top w:w="0" w:type="dxa"/>
              <w:left w:w="108" w:type="dxa"/>
              <w:bottom w:w="0" w:type="dxa"/>
              <w:right w:w="108" w:type="dxa"/>
            </w:tcMar>
            <w:hideMark/>
          </w:tcPr>
          <w:p w:rsidR="00DB4621" w:rsidRDefault="00DB4621">
            <w:pPr>
              <w:rPr>
                <w:color w:val="1F497D"/>
              </w:rPr>
            </w:pPr>
            <w:proofErr w:type="spellStart"/>
            <w:r>
              <w:rPr>
                <w:color w:val="1F497D"/>
              </w:rPr>
              <w:t>min_su</w:t>
            </w:r>
            <w:proofErr w:type="spellEnd"/>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rsidR="00DB4621" w:rsidRDefault="00DB4621">
            <w:pPr>
              <w:rPr>
                <w:color w:val="1F497D"/>
              </w:rPr>
            </w:pPr>
            <w:proofErr w:type="spellStart"/>
            <w:r>
              <w:rPr>
                <w:color w:val="1F497D"/>
              </w:rPr>
              <w:t>typ_su</w:t>
            </w:r>
            <w:proofErr w:type="spellEnd"/>
          </w:p>
        </w:tc>
        <w:tc>
          <w:tcPr>
            <w:tcW w:w="1272" w:type="dxa"/>
            <w:tcBorders>
              <w:top w:val="nil"/>
              <w:left w:val="nil"/>
              <w:bottom w:val="single" w:sz="8" w:space="0" w:color="auto"/>
              <w:right w:val="single" w:sz="8" w:space="0" w:color="auto"/>
            </w:tcBorders>
            <w:noWrap/>
            <w:tcMar>
              <w:top w:w="0" w:type="dxa"/>
              <w:left w:w="108" w:type="dxa"/>
              <w:bottom w:w="0" w:type="dxa"/>
              <w:right w:w="108" w:type="dxa"/>
            </w:tcMar>
            <w:hideMark/>
          </w:tcPr>
          <w:p w:rsidR="00DB4621" w:rsidRDefault="00DB4621">
            <w:pPr>
              <w:rPr>
                <w:color w:val="1F497D"/>
              </w:rPr>
            </w:pPr>
            <w:proofErr w:type="spellStart"/>
            <w:r>
              <w:rPr>
                <w:color w:val="1F497D"/>
              </w:rPr>
              <w:t>min_su</w:t>
            </w:r>
            <w:proofErr w:type="spellEnd"/>
          </w:p>
        </w:tc>
        <w:tc>
          <w:tcPr>
            <w:tcW w:w="1230" w:type="dxa"/>
            <w:tcBorders>
              <w:top w:val="nil"/>
              <w:left w:val="nil"/>
              <w:bottom w:val="single" w:sz="8" w:space="0" w:color="auto"/>
              <w:right w:val="single" w:sz="8" w:space="0" w:color="auto"/>
            </w:tcBorders>
            <w:noWrap/>
            <w:tcMar>
              <w:top w:w="0" w:type="dxa"/>
              <w:left w:w="108" w:type="dxa"/>
              <w:bottom w:w="0" w:type="dxa"/>
              <w:right w:w="108" w:type="dxa"/>
            </w:tcMar>
            <w:hideMark/>
          </w:tcPr>
          <w:p w:rsidR="00DB4621" w:rsidRDefault="00DB4621">
            <w:pPr>
              <w:rPr>
                <w:color w:val="1F497D"/>
              </w:rPr>
            </w:pPr>
            <w:proofErr w:type="spellStart"/>
            <w:r>
              <w:rPr>
                <w:color w:val="1F497D"/>
              </w:rPr>
              <w:t>typ_ho</w:t>
            </w:r>
            <w:proofErr w:type="spellEnd"/>
          </w:p>
        </w:tc>
      </w:tr>
      <w:tr w:rsidR="00DB4621" w:rsidTr="00DB4621">
        <w:trPr>
          <w:trHeight w:val="256"/>
        </w:trPr>
        <w:tc>
          <w:tcPr>
            <w:tcW w:w="125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B4621" w:rsidRDefault="00DB4621">
            <w:pPr>
              <w:rPr>
                <w:color w:val="1F497D"/>
              </w:rPr>
            </w:pPr>
            <w:r>
              <w:rPr>
                <w:color w:val="1F497D"/>
              </w:rPr>
              <w:t>250</w:t>
            </w:r>
          </w:p>
        </w:tc>
        <w:tc>
          <w:tcPr>
            <w:tcW w:w="1769" w:type="dxa"/>
            <w:tcBorders>
              <w:top w:val="nil"/>
              <w:left w:val="nil"/>
              <w:bottom w:val="single" w:sz="8" w:space="0" w:color="auto"/>
              <w:right w:val="single" w:sz="8" w:space="0" w:color="auto"/>
            </w:tcBorders>
            <w:noWrap/>
            <w:tcMar>
              <w:top w:w="0" w:type="dxa"/>
              <w:left w:w="108" w:type="dxa"/>
              <w:bottom w:w="0" w:type="dxa"/>
              <w:right w:w="108" w:type="dxa"/>
            </w:tcMar>
            <w:hideMark/>
          </w:tcPr>
          <w:p w:rsidR="00DB4621" w:rsidRDefault="00DB4621">
            <w:pPr>
              <w:rPr>
                <w:color w:val="1F497D"/>
              </w:rPr>
            </w:pPr>
            <w:r>
              <w:rPr>
                <w:color w:val="1F497D"/>
              </w:rPr>
              <w:t>4</w:t>
            </w:r>
          </w:p>
        </w:tc>
        <w:tc>
          <w:tcPr>
            <w:tcW w:w="1302" w:type="dxa"/>
            <w:tcBorders>
              <w:top w:val="nil"/>
              <w:left w:val="nil"/>
              <w:bottom w:val="single" w:sz="8" w:space="0" w:color="auto"/>
              <w:right w:val="single" w:sz="8" w:space="0" w:color="auto"/>
            </w:tcBorders>
            <w:noWrap/>
            <w:tcMar>
              <w:top w:w="0" w:type="dxa"/>
              <w:left w:w="108" w:type="dxa"/>
              <w:bottom w:w="0" w:type="dxa"/>
              <w:right w:w="108" w:type="dxa"/>
            </w:tcMar>
            <w:hideMark/>
          </w:tcPr>
          <w:p w:rsidR="00DB4621" w:rsidRDefault="00DB4621">
            <w:pPr>
              <w:rPr>
                <w:color w:val="1F497D"/>
              </w:rPr>
            </w:pPr>
            <w:r>
              <w:rPr>
                <w:color w:val="1F497D"/>
              </w:rPr>
              <w:t>0.6</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rsidR="00DB4621" w:rsidRDefault="00DB4621">
            <w:pPr>
              <w:rPr>
                <w:color w:val="1F497D"/>
              </w:rPr>
            </w:pPr>
            <w:r>
              <w:rPr>
                <w:color w:val="1F497D"/>
              </w:rPr>
              <w:t>0.85</w:t>
            </w:r>
          </w:p>
        </w:tc>
        <w:tc>
          <w:tcPr>
            <w:tcW w:w="1272" w:type="dxa"/>
            <w:tcBorders>
              <w:top w:val="nil"/>
              <w:left w:val="nil"/>
              <w:bottom w:val="single" w:sz="8" w:space="0" w:color="auto"/>
              <w:right w:val="single" w:sz="8" w:space="0" w:color="auto"/>
            </w:tcBorders>
            <w:noWrap/>
            <w:tcMar>
              <w:top w:w="0" w:type="dxa"/>
              <w:left w:w="108" w:type="dxa"/>
              <w:bottom w:w="0" w:type="dxa"/>
              <w:right w:w="108" w:type="dxa"/>
            </w:tcMar>
            <w:hideMark/>
          </w:tcPr>
          <w:p w:rsidR="00DB4621" w:rsidRDefault="00DB4621">
            <w:pPr>
              <w:rPr>
                <w:color w:val="1F497D"/>
              </w:rPr>
            </w:pPr>
            <w:r>
              <w:rPr>
                <w:color w:val="1F497D"/>
              </w:rPr>
              <w:t>0.6</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hideMark/>
          </w:tcPr>
          <w:p w:rsidR="00DB4621" w:rsidRDefault="00DB4621">
            <w:pPr>
              <w:rPr>
                <w:color w:val="1F497D"/>
              </w:rPr>
            </w:pPr>
            <w:r>
              <w:rPr>
                <w:color w:val="1F497D"/>
              </w:rPr>
              <w:t>0.84</w:t>
            </w:r>
          </w:p>
        </w:tc>
      </w:tr>
      <w:tr w:rsidR="00DB4621" w:rsidTr="00DB4621">
        <w:trPr>
          <w:trHeight w:val="256"/>
        </w:trPr>
        <w:tc>
          <w:tcPr>
            <w:tcW w:w="125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B4621" w:rsidRDefault="00DB4621">
            <w:pPr>
              <w:rPr>
                <w:color w:val="1F497D"/>
              </w:rPr>
            </w:pPr>
            <w:r>
              <w:rPr>
                <w:color w:val="1F497D"/>
              </w:rPr>
              <w:t>210</w:t>
            </w:r>
          </w:p>
        </w:tc>
        <w:tc>
          <w:tcPr>
            <w:tcW w:w="1769" w:type="dxa"/>
            <w:tcBorders>
              <w:top w:val="nil"/>
              <w:left w:val="nil"/>
              <w:bottom w:val="single" w:sz="8" w:space="0" w:color="auto"/>
              <w:right w:val="single" w:sz="8" w:space="0" w:color="auto"/>
            </w:tcBorders>
            <w:noWrap/>
            <w:tcMar>
              <w:top w:w="0" w:type="dxa"/>
              <w:left w:w="108" w:type="dxa"/>
              <w:bottom w:w="0" w:type="dxa"/>
              <w:right w:w="108" w:type="dxa"/>
            </w:tcMar>
            <w:hideMark/>
          </w:tcPr>
          <w:p w:rsidR="00DB4621" w:rsidRDefault="00DB4621">
            <w:pPr>
              <w:rPr>
                <w:color w:val="1F497D"/>
              </w:rPr>
            </w:pPr>
            <w:r>
              <w:rPr>
                <w:color w:val="1F497D"/>
              </w:rPr>
              <w:t>4.761904762</w:t>
            </w:r>
          </w:p>
        </w:tc>
        <w:tc>
          <w:tcPr>
            <w:tcW w:w="1302" w:type="dxa"/>
            <w:tcBorders>
              <w:top w:val="nil"/>
              <w:left w:val="nil"/>
              <w:bottom w:val="single" w:sz="8" w:space="0" w:color="auto"/>
              <w:right w:val="single" w:sz="8" w:space="0" w:color="auto"/>
            </w:tcBorders>
            <w:noWrap/>
            <w:tcMar>
              <w:top w:w="0" w:type="dxa"/>
              <w:left w:w="108" w:type="dxa"/>
              <w:bottom w:w="0" w:type="dxa"/>
              <w:right w:w="108" w:type="dxa"/>
            </w:tcMar>
            <w:hideMark/>
          </w:tcPr>
          <w:p w:rsidR="00DB4621" w:rsidRDefault="00DB4621">
            <w:pPr>
              <w:rPr>
                <w:color w:val="1F497D"/>
              </w:rPr>
            </w:pPr>
            <w:r>
              <w:rPr>
                <w:color w:val="1F497D"/>
              </w:rPr>
              <w:t>0.89</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rsidR="00DB4621" w:rsidRDefault="00DB4621">
            <w:pPr>
              <w:rPr>
                <w:color w:val="1F497D"/>
              </w:rPr>
            </w:pPr>
            <w:r>
              <w:rPr>
                <w:color w:val="1F497D"/>
              </w:rPr>
              <w:t>1.03</w:t>
            </w:r>
          </w:p>
        </w:tc>
        <w:tc>
          <w:tcPr>
            <w:tcW w:w="1272" w:type="dxa"/>
            <w:tcBorders>
              <w:top w:val="nil"/>
              <w:left w:val="nil"/>
              <w:bottom w:val="single" w:sz="8" w:space="0" w:color="auto"/>
              <w:right w:val="single" w:sz="8" w:space="0" w:color="auto"/>
            </w:tcBorders>
            <w:noWrap/>
            <w:tcMar>
              <w:top w:w="0" w:type="dxa"/>
              <w:left w:w="108" w:type="dxa"/>
              <w:bottom w:w="0" w:type="dxa"/>
              <w:right w:w="108" w:type="dxa"/>
            </w:tcMar>
            <w:hideMark/>
          </w:tcPr>
          <w:p w:rsidR="00DB4621" w:rsidRDefault="00DB4621">
            <w:pPr>
              <w:rPr>
                <w:color w:val="1F497D"/>
              </w:rPr>
            </w:pPr>
            <w:r>
              <w:rPr>
                <w:color w:val="1F497D"/>
              </w:rPr>
              <w:t>0.82</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hideMark/>
          </w:tcPr>
          <w:p w:rsidR="00DB4621" w:rsidRDefault="00DB4621">
            <w:pPr>
              <w:rPr>
                <w:color w:val="1F497D"/>
              </w:rPr>
            </w:pPr>
            <w:r>
              <w:rPr>
                <w:color w:val="1F497D"/>
              </w:rPr>
              <w:t>1.01</w:t>
            </w:r>
          </w:p>
        </w:tc>
      </w:tr>
      <w:tr w:rsidR="00DB4621" w:rsidTr="00DB4621">
        <w:trPr>
          <w:trHeight w:val="256"/>
        </w:trPr>
        <w:tc>
          <w:tcPr>
            <w:tcW w:w="125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B4621" w:rsidRDefault="00DB4621">
            <w:pPr>
              <w:rPr>
                <w:b/>
                <w:bCs/>
                <w:color w:val="1F497D"/>
              </w:rPr>
            </w:pPr>
            <w:r>
              <w:rPr>
                <w:b/>
                <w:bCs/>
                <w:color w:val="1F497D"/>
              </w:rPr>
              <w:t>192</w:t>
            </w:r>
          </w:p>
        </w:tc>
        <w:tc>
          <w:tcPr>
            <w:tcW w:w="1769" w:type="dxa"/>
            <w:tcBorders>
              <w:top w:val="nil"/>
              <w:left w:val="nil"/>
              <w:bottom w:val="single" w:sz="8" w:space="0" w:color="auto"/>
              <w:right w:val="single" w:sz="8" w:space="0" w:color="auto"/>
            </w:tcBorders>
            <w:noWrap/>
            <w:tcMar>
              <w:top w:w="0" w:type="dxa"/>
              <w:left w:w="108" w:type="dxa"/>
              <w:bottom w:w="0" w:type="dxa"/>
              <w:right w:w="108" w:type="dxa"/>
            </w:tcMar>
            <w:hideMark/>
          </w:tcPr>
          <w:p w:rsidR="00DB4621" w:rsidRDefault="00DB4621">
            <w:pPr>
              <w:rPr>
                <w:b/>
                <w:bCs/>
                <w:color w:val="1F497D"/>
              </w:rPr>
            </w:pPr>
            <w:r>
              <w:rPr>
                <w:b/>
                <w:bCs/>
                <w:color w:val="1F497D"/>
              </w:rPr>
              <w:t>5.208333333</w:t>
            </w:r>
          </w:p>
        </w:tc>
        <w:tc>
          <w:tcPr>
            <w:tcW w:w="1302" w:type="dxa"/>
            <w:tcBorders>
              <w:top w:val="nil"/>
              <w:left w:val="nil"/>
              <w:bottom w:val="single" w:sz="8" w:space="0" w:color="auto"/>
              <w:right w:val="single" w:sz="8" w:space="0" w:color="auto"/>
            </w:tcBorders>
            <w:noWrap/>
            <w:tcMar>
              <w:top w:w="0" w:type="dxa"/>
              <w:left w:w="108" w:type="dxa"/>
              <w:bottom w:w="0" w:type="dxa"/>
              <w:right w:w="108" w:type="dxa"/>
            </w:tcMar>
            <w:hideMark/>
          </w:tcPr>
          <w:p w:rsidR="00DB4621" w:rsidRDefault="00DB4621">
            <w:pPr>
              <w:rPr>
                <w:b/>
                <w:bCs/>
                <w:color w:val="1F497D"/>
              </w:rPr>
            </w:pPr>
            <w:r>
              <w:rPr>
                <w:b/>
                <w:bCs/>
                <w:color w:val="1F497D"/>
              </w:rPr>
              <w:t>1</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rsidR="00DB4621" w:rsidRDefault="00DB4621">
            <w:pPr>
              <w:rPr>
                <w:b/>
                <w:bCs/>
                <w:color w:val="1F497D"/>
              </w:rPr>
            </w:pPr>
            <w:r>
              <w:rPr>
                <w:b/>
                <w:bCs/>
                <w:color w:val="1F497D"/>
              </w:rPr>
              <w:t>1.15</w:t>
            </w:r>
          </w:p>
        </w:tc>
        <w:tc>
          <w:tcPr>
            <w:tcW w:w="1272" w:type="dxa"/>
            <w:tcBorders>
              <w:top w:val="nil"/>
              <w:left w:val="nil"/>
              <w:bottom w:val="single" w:sz="8" w:space="0" w:color="auto"/>
              <w:right w:val="single" w:sz="8" w:space="0" w:color="auto"/>
            </w:tcBorders>
            <w:noWrap/>
            <w:tcMar>
              <w:top w:w="0" w:type="dxa"/>
              <w:left w:w="108" w:type="dxa"/>
              <w:bottom w:w="0" w:type="dxa"/>
              <w:right w:w="108" w:type="dxa"/>
            </w:tcMar>
            <w:hideMark/>
          </w:tcPr>
          <w:p w:rsidR="00DB4621" w:rsidRDefault="00DB4621">
            <w:pPr>
              <w:rPr>
                <w:b/>
                <w:bCs/>
                <w:color w:val="1F497D"/>
              </w:rPr>
            </w:pPr>
            <w:r>
              <w:rPr>
                <w:b/>
                <w:bCs/>
                <w:color w:val="1F497D"/>
              </w:rPr>
              <w:t>0.91</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hideMark/>
          </w:tcPr>
          <w:p w:rsidR="00DB4621" w:rsidRDefault="00DB4621">
            <w:pPr>
              <w:rPr>
                <w:b/>
                <w:bCs/>
                <w:color w:val="1F497D"/>
              </w:rPr>
            </w:pPr>
            <w:r>
              <w:rPr>
                <w:b/>
                <w:bCs/>
                <w:color w:val="1F497D"/>
              </w:rPr>
              <w:t>1.1</w:t>
            </w:r>
          </w:p>
        </w:tc>
      </w:tr>
      <w:tr w:rsidR="00DB4621" w:rsidTr="00DB4621">
        <w:trPr>
          <w:trHeight w:val="256"/>
        </w:trPr>
        <w:tc>
          <w:tcPr>
            <w:tcW w:w="125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B4621" w:rsidRDefault="00DB4621">
            <w:pPr>
              <w:rPr>
                <w:color w:val="1F497D"/>
              </w:rPr>
            </w:pPr>
            <w:r>
              <w:rPr>
                <w:color w:val="1F497D"/>
              </w:rPr>
              <w:t>185</w:t>
            </w:r>
          </w:p>
        </w:tc>
        <w:tc>
          <w:tcPr>
            <w:tcW w:w="1769" w:type="dxa"/>
            <w:tcBorders>
              <w:top w:val="nil"/>
              <w:left w:val="nil"/>
              <w:bottom w:val="single" w:sz="8" w:space="0" w:color="auto"/>
              <w:right w:val="single" w:sz="8" w:space="0" w:color="auto"/>
            </w:tcBorders>
            <w:noWrap/>
            <w:tcMar>
              <w:top w:w="0" w:type="dxa"/>
              <w:left w:w="108" w:type="dxa"/>
              <w:bottom w:w="0" w:type="dxa"/>
              <w:right w:w="108" w:type="dxa"/>
            </w:tcMar>
            <w:hideMark/>
          </w:tcPr>
          <w:p w:rsidR="00DB4621" w:rsidRDefault="00DB4621">
            <w:pPr>
              <w:rPr>
                <w:color w:val="1F497D"/>
              </w:rPr>
            </w:pPr>
            <w:r>
              <w:rPr>
                <w:color w:val="1F497D"/>
              </w:rPr>
              <w:t>5.405405405</w:t>
            </w:r>
          </w:p>
        </w:tc>
        <w:tc>
          <w:tcPr>
            <w:tcW w:w="1302" w:type="dxa"/>
            <w:tcBorders>
              <w:top w:val="nil"/>
              <w:left w:val="nil"/>
              <w:bottom w:val="single" w:sz="8" w:space="0" w:color="auto"/>
              <w:right w:val="single" w:sz="8" w:space="0" w:color="auto"/>
            </w:tcBorders>
            <w:noWrap/>
            <w:tcMar>
              <w:top w:w="0" w:type="dxa"/>
              <w:left w:w="108" w:type="dxa"/>
              <w:bottom w:w="0" w:type="dxa"/>
              <w:right w:w="108" w:type="dxa"/>
            </w:tcMar>
            <w:hideMark/>
          </w:tcPr>
          <w:p w:rsidR="00DB4621" w:rsidRDefault="00DB4621">
            <w:pPr>
              <w:rPr>
                <w:color w:val="1F497D"/>
              </w:rPr>
            </w:pPr>
            <w:r>
              <w:rPr>
                <w:color w:val="1F497D"/>
              </w:rPr>
              <w:t>1.06</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rsidR="00DB4621" w:rsidRDefault="00DB4621">
            <w:pPr>
              <w:rPr>
                <w:color w:val="1F497D"/>
              </w:rPr>
            </w:pPr>
            <w:r>
              <w:rPr>
                <w:color w:val="1F497D"/>
              </w:rPr>
              <w:t>1.21</w:t>
            </w:r>
          </w:p>
        </w:tc>
        <w:tc>
          <w:tcPr>
            <w:tcW w:w="1272" w:type="dxa"/>
            <w:tcBorders>
              <w:top w:val="nil"/>
              <w:left w:val="nil"/>
              <w:bottom w:val="single" w:sz="8" w:space="0" w:color="auto"/>
              <w:right w:val="single" w:sz="8" w:space="0" w:color="auto"/>
            </w:tcBorders>
            <w:noWrap/>
            <w:tcMar>
              <w:top w:w="0" w:type="dxa"/>
              <w:left w:w="108" w:type="dxa"/>
              <w:bottom w:w="0" w:type="dxa"/>
              <w:right w:w="108" w:type="dxa"/>
            </w:tcMar>
            <w:hideMark/>
          </w:tcPr>
          <w:p w:rsidR="00DB4621" w:rsidRDefault="00DB4621">
            <w:pPr>
              <w:rPr>
                <w:color w:val="1F497D"/>
              </w:rPr>
            </w:pPr>
            <w:r>
              <w:rPr>
                <w:color w:val="1F497D"/>
              </w:rPr>
              <w:t>0.95</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hideMark/>
          </w:tcPr>
          <w:p w:rsidR="00DB4621" w:rsidRDefault="00DB4621">
            <w:pPr>
              <w:rPr>
                <w:color w:val="1F497D"/>
              </w:rPr>
            </w:pPr>
            <w:r>
              <w:rPr>
                <w:color w:val="1F497D"/>
              </w:rPr>
              <w:t>1.15</w:t>
            </w:r>
          </w:p>
        </w:tc>
      </w:tr>
    </w:tbl>
    <w:p w:rsidR="00DB4621" w:rsidRDefault="00DB4621"/>
    <w:sectPr w:rsidR="00DB46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621"/>
    <w:rsid w:val="00C074FB"/>
    <w:rsid w:val="00DB4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62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621"/>
    <w:rPr>
      <w:rFonts w:ascii="Tahoma" w:hAnsi="Tahoma" w:cs="Tahoma"/>
      <w:sz w:val="16"/>
      <w:szCs w:val="16"/>
    </w:rPr>
  </w:style>
  <w:style w:type="character" w:customStyle="1" w:styleId="BalloonTextChar">
    <w:name w:val="Balloon Text Char"/>
    <w:basedOn w:val="DefaultParagraphFont"/>
    <w:link w:val="BalloonText"/>
    <w:uiPriority w:val="99"/>
    <w:semiHidden/>
    <w:rsid w:val="00DB46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62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621"/>
    <w:rPr>
      <w:rFonts w:ascii="Tahoma" w:hAnsi="Tahoma" w:cs="Tahoma"/>
      <w:sz w:val="16"/>
      <w:szCs w:val="16"/>
    </w:rPr>
  </w:style>
  <w:style w:type="character" w:customStyle="1" w:styleId="BalloonTextChar">
    <w:name w:val="Balloon Text Char"/>
    <w:basedOn w:val="DefaultParagraphFont"/>
    <w:link w:val="BalloonText"/>
    <w:uiPriority w:val="99"/>
    <w:semiHidden/>
    <w:rsid w:val="00DB46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859694">
      <w:bodyDiv w:val="1"/>
      <w:marLeft w:val="0"/>
      <w:marRight w:val="0"/>
      <w:marTop w:val="0"/>
      <w:marBottom w:val="0"/>
      <w:divBdr>
        <w:top w:val="none" w:sz="0" w:space="0" w:color="auto"/>
        <w:left w:val="none" w:sz="0" w:space="0" w:color="auto"/>
        <w:bottom w:val="none" w:sz="0" w:space="0" w:color="auto"/>
        <w:right w:val="none" w:sz="0" w:space="0" w:color="auto"/>
      </w:divBdr>
    </w:div>
    <w:div w:id="214292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4.png@01D3DC9C.DD755720"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2.png@01D3DC9A.B9EDA57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cid:image006.jpg@01D3DC9C.DD755720"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Texas Instruments, Inc.</Company>
  <LinksUpToDate>false</LinksUpToDate>
  <CharactersWithSpaces>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a0181823</dc:creator>
  <cp:lastModifiedBy>a0181823</cp:lastModifiedBy>
  <cp:revision>1</cp:revision>
  <dcterms:created xsi:type="dcterms:W3CDTF">2020-10-06T14:27:00Z</dcterms:created>
  <dcterms:modified xsi:type="dcterms:W3CDTF">2020-10-06T14:31:00Z</dcterms:modified>
</cp:coreProperties>
</file>