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7C" w:rsidRDefault="00410D7C" w:rsidP="00410D7C">
      <w:pPr>
        <w:rPr>
          <w:rFonts w:ascii="Calibri" w:hAnsi="Calibri" w:cs="Calibri"/>
          <w:color w:val="1F497D"/>
          <w:sz w:val="22"/>
          <w:szCs w:val="22"/>
          <w:lang w:val="en-IN"/>
        </w:rPr>
      </w:pPr>
      <w:r>
        <w:rPr>
          <w:rFonts w:ascii="Calibri" w:hAnsi="Calibri" w:cs="Calibri"/>
          <w:color w:val="1F497D"/>
          <w:sz w:val="22"/>
          <w:szCs w:val="22"/>
          <w:lang w:val="en-IN"/>
        </w:rPr>
        <w:t>Try the following:</w:t>
      </w:r>
    </w:p>
    <w:p w:rsidR="00410D7C" w:rsidRDefault="00410D7C" w:rsidP="00410D7C">
      <w:pPr>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r>
        <w:rPr>
          <w:rFonts w:ascii="Calibri" w:hAnsi="Calibri" w:cs="Calibri"/>
          <w:color w:val="1F497D"/>
          <w:sz w:val="22"/>
          <w:szCs w:val="22"/>
          <w:lang w:val="en-IN"/>
        </w:rPr>
        <w:t>1.</w:t>
      </w:r>
      <w:r>
        <w:rPr>
          <w:color w:val="1F497D"/>
          <w:sz w:val="14"/>
          <w:szCs w:val="14"/>
          <w:lang w:val="en-IN"/>
        </w:rPr>
        <w:t xml:space="preserve">       </w:t>
      </w:r>
      <w:r>
        <w:rPr>
          <w:rFonts w:ascii="Calibri" w:hAnsi="Calibri" w:cs="Calibri"/>
          <w:color w:val="1F497D"/>
          <w:sz w:val="22"/>
          <w:szCs w:val="22"/>
          <w:lang w:val="en-IN"/>
        </w:rPr>
        <w:t>We can make the TSW14J56RevD board to start a “Capture” by using an external trigger. When using an external trigger, an external pulse must be given to the TSW14J56RevD’s board at “EXT_TRG_INPUT” (TRG_IN) input SMA Pin to start a capture. For more details kindly refer to the “</w:t>
      </w:r>
      <w:r>
        <w:rPr>
          <w:rFonts w:ascii="Calibri" w:hAnsi="Calibri" w:cs="Calibri"/>
          <w:b/>
          <w:bCs/>
          <w:color w:val="1F497D"/>
          <w:sz w:val="22"/>
          <w:szCs w:val="22"/>
          <w:lang w:val="en-IN"/>
        </w:rPr>
        <w:t xml:space="preserve">3.1.3.3 Trigger Operation” </w:t>
      </w:r>
      <w:r>
        <w:rPr>
          <w:rFonts w:ascii="Calibri" w:hAnsi="Calibri" w:cs="Calibri"/>
          <w:color w:val="1F497D"/>
          <w:sz w:val="22"/>
          <w:szCs w:val="22"/>
          <w:lang w:val="en-IN"/>
        </w:rPr>
        <w:t xml:space="preserve">section (Page no. 16) in the HSDC Pro user Guide. </w:t>
      </w:r>
    </w:p>
    <w:p w:rsidR="00410D7C" w:rsidRDefault="00410D7C" w:rsidP="00410D7C">
      <w:pPr>
        <w:pStyle w:val="ListParagraph"/>
        <w:ind w:left="1440" w:hanging="360"/>
        <w:rPr>
          <w:rFonts w:ascii="Calibri" w:hAnsi="Calibri" w:cs="Calibri"/>
          <w:color w:val="1F497D"/>
          <w:sz w:val="22"/>
          <w:szCs w:val="22"/>
          <w:lang w:val="en-IN"/>
        </w:rPr>
      </w:pPr>
      <w:r>
        <w:rPr>
          <w:rFonts w:ascii="Calibri" w:hAnsi="Calibri" w:cs="Calibri"/>
          <w:color w:val="1F497D"/>
          <w:sz w:val="22"/>
          <w:szCs w:val="22"/>
          <w:lang w:val="en-IN"/>
        </w:rPr>
        <w:t>a.</w:t>
      </w:r>
      <w:r>
        <w:rPr>
          <w:color w:val="1F497D"/>
          <w:sz w:val="14"/>
          <w:szCs w:val="14"/>
          <w:lang w:val="en-IN"/>
        </w:rPr>
        <w:t xml:space="preserve">       </w:t>
      </w:r>
      <w:r>
        <w:rPr>
          <w:rFonts w:ascii="Calibri" w:hAnsi="Calibri" w:cs="Calibri"/>
          <w:color w:val="1F497D"/>
          <w:sz w:val="22"/>
          <w:szCs w:val="22"/>
          <w:lang w:val="en-IN"/>
        </w:rPr>
        <w:t xml:space="preserve">Default location of the HSDC Pro User Guide: </w:t>
      </w:r>
      <w:hyperlink r:id="rId5" w:history="1">
        <w:r>
          <w:rPr>
            <w:rStyle w:val="Hyperlink"/>
            <w:rFonts w:ascii="Calibri" w:hAnsi="Calibri" w:cs="Calibri"/>
            <w:sz w:val="22"/>
            <w:szCs w:val="22"/>
            <w:lang w:val="en-IN"/>
          </w:rPr>
          <w:t>C:\Program Files (x86)\Texas Instruments\High Speed Data Converter Pro\HighSpeedDataConverterPro.pdf</w:t>
        </w:r>
      </w:hyperlink>
    </w:p>
    <w:p w:rsidR="00410D7C" w:rsidRDefault="00410D7C" w:rsidP="00410D7C">
      <w:pPr>
        <w:pStyle w:val="ListParagraph"/>
        <w:ind w:left="1440" w:hanging="360"/>
        <w:rPr>
          <w:rFonts w:ascii="Calibri" w:hAnsi="Calibri" w:cs="Calibri"/>
          <w:color w:val="1F497D"/>
          <w:sz w:val="22"/>
          <w:szCs w:val="22"/>
          <w:lang w:val="en-IN"/>
        </w:rPr>
      </w:pPr>
      <w:r>
        <w:rPr>
          <w:rFonts w:ascii="Calibri" w:hAnsi="Calibri" w:cs="Calibri"/>
          <w:color w:val="1F497D"/>
          <w:sz w:val="22"/>
          <w:szCs w:val="22"/>
          <w:lang w:val="en-IN"/>
        </w:rPr>
        <w:t>b.</w:t>
      </w:r>
      <w:r>
        <w:rPr>
          <w:color w:val="1F497D"/>
          <w:sz w:val="14"/>
          <w:szCs w:val="14"/>
          <w:lang w:val="en-IN"/>
        </w:rPr>
        <w:t xml:space="preserve">      </w:t>
      </w:r>
      <w:r>
        <w:rPr>
          <w:rFonts w:ascii="Calibri" w:hAnsi="Calibri" w:cs="Calibri"/>
          <w:color w:val="1F497D"/>
          <w:sz w:val="22"/>
          <w:szCs w:val="22"/>
          <w:lang w:val="en-IN"/>
        </w:rPr>
        <w:t>Trigger Mode can be set in Menu Option</w:t>
      </w:r>
      <w:r>
        <w:rPr>
          <w:rFonts w:ascii="Calibri" w:hAnsi="Calibri" w:cs="Calibri"/>
          <w:color w:val="1F497D"/>
          <w:sz w:val="22"/>
          <w:szCs w:val="22"/>
          <w:lang w:val="en-IN"/>
        </w:rPr>
        <w:t xml:space="preserve"> </w:t>
      </w:r>
      <w:r>
        <w:rPr>
          <w:rFonts w:ascii="Calibri" w:hAnsi="Calibri" w:cs="Calibri"/>
          <w:color w:val="1F497D"/>
          <w:sz w:val="22"/>
          <w:szCs w:val="22"/>
          <w:lang w:val="en-IN"/>
        </w:rPr>
        <w:t>(Data Capture Options -&gt; Trigger Option) or using the “</w:t>
      </w:r>
      <w:proofErr w:type="spellStart"/>
      <w:r>
        <w:rPr>
          <w:rFonts w:ascii="Calibri" w:hAnsi="Calibri" w:cs="Calibri"/>
          <w:color w:val="1F497D"/>
          <w:sz w:val="22"/>
          <w:szCs w:val="22"/>
          <w:lang w:val="en-IN"/>
        </w:rPr>
        <w:t>Trigger_Option</w:t>
      </w:r>
      <w:proofErr w:type="spellEnd"/>
      <w:r>
        <w:rPr>
          <w:rFonts w:ascii="Calibri" w:hAnsi="Calibri" w:cs="Calibri"/>
          <w:color w:val="1F497D"/>
          <w:sz w:val="22"/>
          <w:szCs w:val="22"/>
          <w:lang w:val="en-IN"/>
        </w:rPr>
        <w:t>” Automation API and then the data captured</w:t>
      </w:r>
      <w:r>
        <w:rPr>
          <w:rFonts w:ascii="Calibri" w:hAnsi="Calibri" w:cs="Calibri"/>
          <w:color w:val="1F497D"/>
          <w:sz w:val="22"/>
          <w:szCs w:val="22"/>
          <w:lang w:val="en-IN"/>
        </w:rPr>
        <w:t xml:space="preserve"> after the trigger occurred at </w:t>
      </w:r>
      <w:r>
        <w:rPr>
          <w:rFonts w:ascii="Calibri" w:hAnsi="Calibri" w:cs="Calibri"/>
          <w:color w:val="1F497D"/>
          <w:sz w:val="22"/>
          <w:szCs w:val="22"/>
          <w:lang w:val="en-IN"/>
        </w:rPr>
        <w:t>“EXT_TRG_INPUT” (TRG_IN) input SMA Pin, can be read by using the “</w:t>
      </w:r>
      <w:proofErr w:type="spellStart"/>
      <w:r>
        <w:rPr>
          <w:rFonts w:ascii="Calibri" w:hAnsi="Calibri" w:cs="Calibri"/>
          <w:color w:val="1F497D"/>
          <w:sz w:val="22"/>
          <w:szCs w:val="22"/>
          <w:lang w:val="en-IN"/>
        </w:rPr>
        <w:t>Read_DDR_Memory</w:t>
      </w:r>
      <w:proofErr w:type="spellEnd"/>
      <w:r>
        <w:rPr>
          <w:rFonts w:ascii="Calibri" w:hAnsi="Calibri" w:cs="Calibri"/>
          <w:color w:val="1F497D"/>
          <w:sz w:val="22"/>
          <w:szCs w:val="22"/>
          <w:lang w:val="en-IN"/>
        </w:rPr>
        <w:t>” Automation API.</w:t>
      </w:r>
    </w:p>
    <w:p w:rsidR="00410D7C" w:rsidRDefault="00410D7C" w:rsidP="00410D7C">
      <w:pPr>
        <w:pStyle w:val="ListParagraph"/>
        <w:ind w:left="1440" w:hanging="360"/>
        <w:rPr>
          <w:rFonts w:ascii="Calibri" w:hAnsi="Calibri" w:cs="Calibri"/>
          <w:color w:val="1F497D"/>
          <w:sz w:val="22"/>
          <w:szCs w:val="22"/>
          <w:lang w:val="en-IN"/>
        </w:rPr>
      </w:pPr>
    </w:p>
    <w:p w:rsidR="00410D7C" w:rsidRDefault="00410D7C" w:rsidP="00410D7C">
      <w:pPr>
        <w:pStyle w:val="ListParagraph"/>
        <w:ind w:left="1440"/>
        <w:rPr>
          <w:rFonts w:ascii="Calibri" w:hAnsi="Calibri" w:cs="Calibri"/>
          <w:color w:val="1F497D"/>
          <w:sz w:val="22"/>
          <w:szCs w:val="22"/>
          <w:lang w:val="en-IN"/>
        </w:rPr>
      </w:pPr>
      <w:r>
        <w:rPr>
          <w:noProof/>
        </w:rPr>
        <w:drawing>
          <wp:inline distT="0" distB="0" distL="0" distR="0">
            <wp:extent cx="4352290" cy="4827270"/>
            <wp:effectExtent l="0" t="0" r="0" b="0"/>
            <wp:docPr id="2" name="Picture 2" descr="cid:image002.png@01D65571.D8514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png@01D65571.D8514B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52290" cy="4827270"/>
                    </a:xfrm>
                    <a:prstGeom prst="rect">
                      <a:avLst/>
                    </a:prstGeom>
                    <a:noFill/>
                    <a:ln>
                      <a:noFill/>
                    </a:ln>
                  </pic:spPr>
                </pic:pic>
              </a:graphicData>
            </a:graphic>
          </wp:inline>
        </w:drawing>
      </w:r>
    </w:p>
    <w:p w:rsidR="00410D7C" w:rsidRDefault="00410D7C" w:rsidP="00410D7C">
      <w:pPr>
        <w:pStyle w:val="ListParagraph"/>
        <w:ind w:hanging="36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p>
    <w:p w:rsidR="00410D7C" w:rsidRPr="00410D7C" w:rsidRDefault="00410D7C" w:rsidP="00410D7C">
      <w:pPr>
        <w:pStyle w:val="ListParagraph"/>
        <w:ind w:hanging="360"/>
        <w:rPr>
          <w:color w:val="1F497D"/>
          <w:sz w:val="14"/>
          <w:szCs w:val="14"/>
          <w:lang w:val="en-IN"/>
        </w:rPr>
      </w:pPr>
      <w:r>
        <w:rPr>
          <w:rFonts w:ascii="Calibri" w:hAnsi="Calibri" w:cs="Calibri"/>
          <w:color w:val="1F497D"/>
          <w:sz w:val="22"/>
          <w:szCs w:val="22"/>
          <w:lang w:val="en-IN"/>
        </w:rPr>
        <w:lastRenderedPageBreak/>
        <w:t>2.</w:t>
      </w:r>
      <w:r>
        <w:rPr>
          <w:color w:val="1F497D"/>
          <w:sz w:val="14"/>
          <w:szCs w:val="14"/>
          <w:lang w:val="en-IN"/>
        </w:rPr>
        <w:t>      </w:t>
      </w:r>
      <w:r w:rsidRPr="00410D7C">
        <w:rPr>
          <w:color w:val="1F497D"/>
          <w:sz w:val="14"/>
          <w:szCs w:val="14"/>
          <w:lang w:val="en-IN"/>
        </w:rPr>
        <w:t xml:space="preserve"> </w:t>
      </w:r>
      <w:r w:rsidRPr="00410D7C">
        <w:rPr>
          <w:rFonts w:ascii="Calibri" w:hAnsi="Calibri" w:cs="Calibri"/>
          <w:color w:val="1F497D"/>
          <w:sz w:val="22"/>
          <w:szCs w:val="22"/>
          <w:lang w:val="en-IN"/>
        </w:rPr>
        <w:t xml:space="preserve">We cannot make the TSW14J56RevD board to “Capture” for a particular amount of time explicitly. However we can make the TSW14J56RevD board to capture a particular </w:t>
      </w:r>
      <w:r w:rsidRPr="00410D7C">
        <w:rPr>
          <w:rFonts w:ascii="Calibri" w:hAnsi="Calibri" w:cs="Calibri"/>
          <w:b/>
          <w:bCs/>
          <w:color w:val="1F497D"/>
          <w:sz w:val="22"/>
          <w:szCs w:val="22"/>
          <w:lang w:val="en-IN"/>
        </w:rPr>
        <w:t>Number of samples per channel</w:t>
      </w:r>
      <w:r w:rsidRPr="00410D7C">
        <w:rPr>
          <w:rFonts w:ascii="Calibri" w:hAnsi="Calibri" w:cs="Calibri"/>
          <w:color w:val="1F497D"/>
          <w:sz w:val="22"/>
          <w:szCs w:val="22"/>
          <w:lang w:val="en-IN"/>
        </w:rPr>
        <w:t xml:space="preserve">, which indirectly specifies the Capture period. For this the </w:t>
      </w:r>
      <w:r w:rsidRPr="00410D7C">
        <w:rPr>
          <w:rFonts w:ascii="Calibri" w:hAnsi="Calibri" w:cs="Calibri"/>
          <w:b/>
          <w:bCs/>
          <w:color w:val="1F497D"/>
          <w:sz w:val="22"/>
          <w:szCs w:val="22"/>
          <w:lang w:val="en-IN"/>
        </w:rPr>
        <w:t>Number of samples per channel</w:t>
      </w:r>
      <w:r w:rsidRPr="00410D7C">
        <w:rPr>
          <w:rFonts w:ascii="Calibri" w:hAnsi="Calibri" w:cs="Calibri"/>
          <w:color w:val="1F497D"/>
          <w:sz w:val="22"/>
          <w:szCs w:val="22"/>
          <w:lang w:val="en-IN"/>
        </w:rPr>
        <w:t xml:space="preserve"> has to be specified, based on the operating mode of the ADC (ADC Resolution and ADC Sampling frequency).</w:t>
      </w:r>
    </w:p>
    <w:p w:rsidR="00410D7C" w:rsidRDefault="00410D7C" w:rsidP="00410D7C">
      <w:pPr>
        <w:pStyle w:val="ListParagraph"/>
        <w:ind w:left="1440" w:hanging="360"/>
        <w:rPr>
          <w:rFonts w:ascii="Calibri" w:hAnsi="Calibri" w:cs="Calibri"/>
          <w:color w:val="1F497D"/>
          <w:sz w:val="22"/>
          <w:szCs w:val="22"/>
          <w:lang w:val="en-IN"/>
        </w:rPr>
      </w:pPr>
      <w:r>
        <w:rPr>
          <w:rFonts w:ascii="Calibri" w:hAnsi="Calibri" w:cs="Calibri"/>
          <w:color w:val="1F497D"/>
          <w:sz w:val="22"/>
          <w:szCs w:val="22"/>
          <w:lang w:val="en-IN"/>
        </w:rPr>
        <w:t>a.</w:t>
      </w:r>
      <w:r>
        <w:rPr>
          <w:color w:val="1F497D"/>
          <w:sz w:val="14"/>
          <w:szCs w:val="14"/>
          <w:lang w:val="en-IN"/>
        </w:rPr>
        <w:t xml:space="preserve">       </w:t>
      </w:r>
      <w:r>
        <w:rPr>
          <w:rFonts w:ascii="Calibri" w:hAnsi="Calibri" w:cs="Calibri"/>
          <w:color w:val="1F497D"/>
          <w:sz w:val="22"/>
          <w:szCs w:val="22"/>
          <w:lang w:val="en-IN"/>
        </w:rPr>
        <w:t xml:space="preserve">The </w:t>
      </w:r>
      <w:r>
        <w:rPr>
          <w:rFonts w:ascii="Calibri" w:hAnsi="Calibri" w:cs="Calibri"/>
          <w:b/>
          <w:bCs/>
          <w:color w:val="1F497D"/>
          <w:sz w:val="22"/>
          <w:szCs w:val="22"/>
          <w:lang w:val="en-IN"/>
        </w:rPr>
        <w:t xml:space="preserve">Number of samples per channel </w:t>
      </w:r>
      <w:r>
        <w:rPr>
          <w:rFonts w:ascii="Calibri" w:hAnsi="Calibri" w:cs="Calibri"/>
          <w:color w:val="1F497D"/>
          <w:sz w:val="22"/>
          <w:szCs w:val="22"/>
          <w:lang w:val="en-IN"/>
        </w:rPr>
        <w:t>can be set in Menu Option (Data Capture Options -&gt; Capture Option) or using the “</w:t>
      </w:r>
      <w:proofErr w:type="spellStart"/>
      <w:r>
        <w:rPr>
          <w:rFonts w:ascii="Calibri" w:hAnsi="Calibri" w:cs="Calibri"/>
          <w:b/>
          <w:bCs/>
          <w:color w:val="1F497D"/>
          <w:sz w:val="22"/>
          <w:szCs w:val="22"/>
          <w:lang w:val="en-IN"/>
        </w:rPr>
        <w:t>Set_Number_of_Samples</w:t>
      </w:r>
      <w:proofErr w:type="spellEnd"/>
      <w:r>
        <w:rPr>
          <w:rFonts w:ascii="Calibri" w:hAnsi="Calibri" w:cs="Calibri"/>
          <w:b/>
          <w:bCs/>
          <w:color w:val="1F497D"/>
          <w:sz w:val="22"/>
          <w:szCs w:val="22"/>
          <w:lang w:val="en-IN"/>
        </w:rPr>
        <w:t>”</w:t>
      </w:r>
      <w:r>
        <w:rPr>
          <w:rFonts w:ascii="Calibri" w:hAnsi="Calibri" w:cs="Calibri"/>
          <w:color w:val="1F497D"/>
          <w:sz w:val="22"/>
          <w:szCs w:val="22"/>
          <w:lang w:val="en-IN"/>
        </w:rPr>
        <w:t xml:space="preserve"> Automation API </w:t>
      </w:r>
      <w:proofErr w:type="gramStart"/>
      <w:r>
        <w:rPr>
          <w:rFonts w:ascii="Calibri" w:hAnsi="Calibri" w:cs="Calibri"/>
          <w:color w:val="1F497D"/>
          <w:sz w:val="22"/>
          <w:szCs w:val="22"/>
          <w:lang w:val="en-IN"/>
        </w:rPr>
        <w:t>function</w:t>
      </w:r>
      <w:proofErr w:type="gramEnd"/>
      <w:r>
        <w:rPr>
          <w:rFonts w:ascii="Calibri" w:hAnsi="Calibri" w:cs="Calibri"/>
          <w:color w:val="1F497D"/>
          <w:sz w:val="22"/>
          <w:szCs w:val="22"/>
          <w:lang w:val="en-IN"/>
        </w:rPr>
        <w:t>.</w:t>
      </w:r>
    </w:p>
    <w:p w:rsidR="00410D7C" w:rsidRDefault="00410D7C" w:rsidP="00410D7C">
      <w:pPr>
        <w:pStyle w:val="ListParagraph"/>
        <w:ind w:left="1440" w:hanging="360"/>
        <w:rPr>
          <w:rFonts w:ascii="Calibri" w:hAnsi="Calibri" w:cs="Calibri"/>
          <w:color w:val="1F497D"/>
          <w:sz w:val="22"/>
          <w:szCs w:val="22"/>
          <w:lang w:val="en-IN"/>
        </w:rPr>
      </w:pPr>
    </w:p>
    <w:p w:rsidR="00410D7C" w:rsidRDefault="00410D7C" w:rsidP="00410D7C">
      <w:pPr>
        <w:pStyle w:val="ListParagraph"/>
        <w:ind w:left="1440" w:hanging="360"/>
        <w:rPr>
          <w:rFonts w:ascii="Calibri" w:hAnsi="Calibri" w:cs="Calibri"/>
          <w:color w:val="1F497D"/>
          <w:sz w:val="22"/>
          <w:szCs w:val="22"/>
          <w:lang w:val="en-IN"/>
        </w:rPr>
      </w:pPr>
    </w:p>
    <w:p w:rsidR="00410D7C" w:rsidRDefault="00410D7C" w:rsidP="00410D7C">
      <w:pPr>
        <w:pStyle w:val="ListParagraph"/>
        <w:ind w:left="1440"/>
        <w:rPr>
          <w:rFonts w:ascii="Calibri" w:hAnsi="Calibri" w:cs="Calibri"/>
          <w:color w:val="1F497D"/>
          <w:sz w:val="22"/>
          <w:szCs w:val="22"/>
          <w:lang w:val="en-IN"/>
        </w:rPr>
      </w:pPr>
      <w:r>
        <w:rPr>
          <w:noProof/>
        </w:rPr>
        <w:drawing>
          <wp:inline distT="0" distB="0" distL="0" distR="0">
            <wp:extent cx="4559935" cy="4049395"/>
            <wp:effectExtent l="0" t="0" r="0" b="8255"/>
            <wp:docPr id="1" name="Picture 1" descr="cid:image001.png@01D6556A.C0DEF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556A.C0DEF5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59935" cy="4049395"/>
                    </a:xfrm>
                    <a:prstGeom prst="rect">
                      <a:avLst/>
                    </a:prstGeom>
                    <a:noFill/>
                    <a:ln>
                      <a:noFill/>
                    </a:ln>
                  </pic:spPr>
                </pic:pic>
              </a:graphicData>
            </a:graphic>
          </wp:inline>
        </w:drawing>
      </w:r>
    </w:p>
    <w:p w:rsidR="00410D7C" w:rsidRDefault="00410D7C" w:rsidP="00410D7C">
      <w:pPr>
        <w:pStyle w:val="ListParagraph"/>
        <w:ind w:left="1440"/>
        <w:rPr>
          <w:rFonts w:ascii="Calibri" w:hAnsi="Calibri" w:cs="Calibri"/>
          <w:color w:val="1F497D"/>
          <w:sz w:val="22"/>
          <w:szCs w:val="22"/>
          <w:lang w:val="en-IN"/>
        </w:rPr>
      </w:pPr>
    </w:p>
    <w:p w:rsidR="00410D7C" w:rsidRDefault="00410D7C" w:rsidP="00410D7C">
      <w:pPr>
        <w:pStyle w:val="ListParagraph"/>
        <w:ind w:hanging="360"/>
        <w:rPr>
          <w:rFonts w:ascii="Calibri" w:hAnsi="Calibri" w:cs="Calibri"/>
          <w:color w:val="1F497D"/>
          <w:sz w:val="22"/>
          <w:szCs w:val="22"/>
          <w:lang w:val="en-IN"/>
        </w:rPr>
      </w:pPr>
      <w:r>
        <w:rPr>
          <w:rFonts w:ascii="Calibri" w:hAnsi="Calibri" w:cs="Calibri"/>
          <w:color w:val="1F497D"/>
          <w:sz w:val="22"/>
          <w:szCs w:val="22"/>
          <w:lang w:val="en-IN"/>
        </w:rPr>
        <w:t>3.</w:t>
      </w:r>
      <w:r>
        <w:rPr>
          <w:color w:val="1F497D"/>
          <w:sz w:val="14"/>
          <w:szCs w:val="14"/>
          <w:lang w:val="en-IN"/>
        </w:rPr>
        <w:t xml:space="preserve">       </w:t>
      </w:r>
      <w:r>
        <w:rPr>
          <w:rFonts w:ascii="Calibri" w:hAnsi="Calibri" w:cs="Calibri"/>
          <w:color w:val="1F497D"/>
          <w:sz w:val="22"/>
          <w:szCs w:val="22"/>
          <w:lang w:val="en-IN"/>
        </w:rPr>
        <w:t>R</w:t>
      </w:r>
      <w:r>
        <w:rPr>
          <w:rFonts w:ascii="Calibri" w:hAnsi="Calibri" w:cs="Calibri"/>
          <w:color w:val="1F497D"/>
          <w:sz w:val="22"/>
          <w:szCs w:val="22"/>
          <w:lang w:val="en-IN"/>
        </w:rPr>
        <w:t>efer to the</w:t>
      </w:r>
      <w:r>
        <w:rPr>
          <w:rFonts w:ascii="Calibri" w:hAnsi="Calibri" w:cs="Calibri"/>
          <w:color w:val="1F497D"/>
          <w:sz w:val="22"/>
          <w:szCs w:val="22"/>
          <w:lang w:val="en-IN"/>
        </w:rPr>
        <w:t xml:space="preserve"> attached</w:t>
      </w:r>
      <w:r>
        <w:rPr>
          <w:rFonts w:ascii="Calibri" w:hAnsi="Calibri" w:cs="Calibri"/>
          <w:color w:val="1F497D"/>
          <w:sz w:val="22"/>
          <w:szCs w:val="22"/>
          <w:lang w:val="en-IN"/>
        </w:rPr>
        <w:t xml:space="preserve"> “Sample Code for External Trigger Capture.py” Sample Code for external trigger capture.</w:t>
      </w:r>
    </w:p>
    <w:p w:rsidR="00410D7C" w:rsidRDefault="00410D7C" w:rsidP="00410D7C">
      <w:pPr>
        <w:pStyle w:val="ListParagraph"/>
        <w:ind w:hanging="360"/>
        <w:rPr>
          <w:rFonts w:ascii="Calibri" w:hAnsi="Calibri" w:cs="Calibri"/>
          <w:color w:val="1F497D"/>
          <w:sz w:val="22"/>
          <w:szCs w:val="22"/>
          <w:lang w:val="en-IN"/>
        </w:rPr>
      </w:pPr>
      <w:r>
        <w:rPr>
          <w:rFonts w:ascii="Calibri" w:hAnsi="Calibri" w:cs="Calibri"/>
          <w:color w:val="1F497D"/>
          <w:sz w:val="22"/>
          <w:szCs w:val="22"/>
          <w:lang w:val="en-IN"/>
        </w:rPr>
        <w:t>4.</w:t>
      </w:r>
      <w:r>
        <w:rPr>
          <w:color w:val="1F497D"/>
          <w:sz w:val="14"/>
          <w:szCs w:val="14"/>
          <w:lang w:val="en-IN"/>
        </w:rPr>
        <w:t xml:space="preserve">       </w:t>
      </w:r>
      <w:r>
        <w:rPr>
          <w:rFonts w:ascii="Calibri" w:hAnsi="Calibri" w:cs="Calibri"/>
          <w:color w:val="1F497D"/>
          <w:sz w:val="22"/>
          <w:szCs w:val="22"/>
          <w:lang w:val="en-IN"/>
        </w:rPr>
        <w:t>The “</w:t>
      </w:r>
      <w:proofErr w:type="spellStart"/>
      <w:r>
        <w:rPr>
          <w:rFonts w:ascii="Calibri" w:hAnsi="Calibri" w:cs="Calibri"/>
          <w:color w:val="1F497D"/>
          <w:sz w:val="22"/>
          <w:szCs w:val="22"/>
          <w:lang w:val="en-IN"/>
        </w:rPr>
        <w:t>Set_AdditionalFrequencyParametersForTwoTone</w:t>
      </w:r>
      <w:proofErr w:type="spellEnd"/>
      <w:r>
        <w:rPr>
          <w:rFonts w:ascii="Calibri" w:hAnsi="Calibri" w:cs="Calibri"/>
          <w:color w:val="1F497D"/>
          <w:sz w:val="22"/>
          <w:szCs w:val="22"/>
          <w:lang w:val="en-IN"/>
        </w:rPr>
        <w:t>” automation function API is used for setting the input target frequencies</w:t>
      </w:r>
      <w:r>
        <w:rPr>
          <w:rFonts w:ascii="Calibri" w:hAnsi="Calibri" w:cs="Calibri"/>
          <w:color w:val="1F497D"/>
          <w:sz w:val="22"/>
          <w:szCs w:val="22"/>
          <w:lang w:val="en-IN"/>
        </w:rPr>
        <w:t xml:space="preserve"> </w:t>
      </w:r>
      <w:r>
        <w:rPr>
          <w:rFonts w:ascii="Calibri" w:hAnsi="Calibri" w:cs="Calibri"/>
          <w:color w:val="1F497D"/>
          <w:sz w:val="22"/>
          <w:szCs w:val="22"/>
          <w:lang w:val="en-IN"/>
        </w:rPr>
        <w:t xml:space="preserve">(both the first and second target frequencies) in HSDC Pro which is used for Two Tone Signals measurement in FFT Calculations. And this function cannot be used to set the start time and time period for the capture process to take place.  </w:t>
      </w:r>
    </w:p>
    <w:p w:rsidR="00410D7C" w:rsidRDefault="00410D7C" w:rsidP="00410D7C">
      <w:pPr>
        <w:pStyle w:val="ListParagraph"/>
        <w:rPr>
          <w:rFonts w:ascii="Calibri" w:hAnsi="Calibri" w:cs="Calibri"/>
          <w:color w:val="1F497D"/>
          <w:sz w:val="22"/>
          <w:szCs w:val="22"/>
          <w:lang w:val="en-IN"/>
        </w:rPr>
      </w:pPr>
    </w:p>
    <w:p w:rsidR="00410D7C" w:rsidRDefault="00410D7C" w:rsidP="00410D7C">
      <w:pPr>
        <w:rPr>
          <w:rFonts w:ascii="Calibri" w:hAnsi="Calibri" w:cs="Calibri"/>
          <w:color w:val="1F497D"/>
          <w:sz w:val="22"/>
          <w:szCs w:val="22"/>
          <w:lang w:val="en-IN"/>
        </w:rPr>
      </w:pPr>
      <w:bookmarkStart w:id="0" w:name="_GoBack"/>
      <w:bookmarkEnd w:id="0"/>
    </w:p>
    <w:p w:rsidR="00D757EE" w:rsidRDefault="00D757EE"/>
    <w:sectPr w:rsidR="00D75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7C"/>
    <w:rsid w:val="00410D7C"/>
    <w:rsid w:val="007F7E32"/>
    <w:rsid w:val="00D7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D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D7C"/>
    <w:rPr>
      <w:color w:val="0000FF"/>
      <w:u w:val="single"/>
    </w:rPr>
  </w:style>
  <w:style w:type="paragraph" w:styleId="ListParagraph">
    <w:name w:val="List Paragraph"/>
    <w:basedOn w:val="Normal"/>
    <w:uiPriority w:val="34"/>
    <w:qFormat/>
    <w:rsid w:val="00410D7C"/>
    <w:pPr>
      <w:ind w:left="720"/>
    </w:pPr>
  </w:style>
  <w:style w:type="paragraph" w:styleId="BalloonText">
    <w:name w:val="Balloon Text"/>
    <w:basedOn w:val="Normal"/>
    <w:link w:val="BalloonTextChar"/>
    <w:uiPriority w:val="99"/>
    <w:semiHidden/>
    <w:unhideWhenUsed/>
    <w:rsid w:val="00410D7C"/>
    <w:rPr>
      <w:rFonts w:ascii="Tahoma" w:hAnsi="Tahoma" w:cs="Tahoma"/>
      <w:sz w:val="16"/>
      <w:szCs w:val="16"/>
    </w:rPr>
  </w:style>
  <w:style w:type="character" w:customStyle="1" w:styleId="BalloonTextChar">
    <w:name w:val="Balloon Text Char"/>
    <w:basedOn w:val="DefaultParagraphFont"/>
    <w:link w:val="BalloonText"/>
    <w:uiPriority w:val="99"/>
    <w:semiHidden/>
    <w:rsid w:val="00410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D7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D7C"/>
    <w:rPr>
      <w:color w:val="0000FF"/>
      <w:u w:val="single"/>
    </w:rPr>
  </w:style>
  <w:style w:type="paragraph" w:styleId="ListParagraph">
    <w:name w:val="List Paragraph"/>
    <w:basedOn w:val="Normal"/>
    <w:uiPriority w:val="34"/>
    <w:qFormat/>
    <w:rsid w:val="00410D7C"/>
    <w:pPr>
      <w:ind w:left="720"/>
    </w:pPr>
  </w:style>
  <w:style w:type="paragraph" w:styleId="BalloonText">
    <w:name w:val="Balloon Text"/>
    <w:basedOn w:val="Normal"/>
    <w:link w:val="BalloonTextChar"/>
    <w:uiPriority w:val="99"/>
    <w:semiHidden/>
    <w:unhideWhenUsed/>
    <w:rsid w:val="00410D7C"/>
    <w:rPr>
      <w:rFonts w:ascii="Tahoma" w:hAnsi="Tahoma" w:cs="Tahoma"/>
      <w:sz w:val="16"/>
      <w:szCs w:val="16"/>
    </w:rPr>
  </w:style>
  <w:style w:type="character" w:customStyle="1" w:styleId="BalloonTextChar">
    <w:name w:val="Balloon Text Char"/>
    <w:basedOn w:val="DefaultParagraphFont"/>
    <w:link w:val="BalloonText"/>
    <w:uiPriority w:val="99"/>
    <w:semiHidden/>
    <w:rsid w:val="00410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cid:image002.png@01D65571.D8514B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file:///C:\Program%20Files%20(x86)\Texas%20Instruments\High%20Speed%20Data%20Converter%20Pro\HighSpeedDataConverterPro.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6556A.C0DEF5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a0181823</dc:creator>
  <cp:lastModifiedBy>a0181823</cp:lastModifiedBy>
  <cp:revision>1</cp:revision>
  <dcterms:created xsi:type="dcterms:W3CDTF">2020-07-08T16:54:00Z</dcterms:created>
  <dcterms:modified xsi:type="dcterms:W3CDTF">2020-07-08T17:05:00Z</dcterms:modified>
</cp:coreProperties>
</file>