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8B" w:rsidRDefault="00B94B8B" w:rsidP="00B94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14"/>
          <w:szCs w:val="14"/>
        </w:rPr>
        <w:t>off</w:t>
      </w:r>
      <w:proofErr w:type="spellEnd"/>
      <w:r>
        <w:rPr>
          <w:rFonts w:ascii="Arial" w:hAnsi="Arial" w:cs="Arial"/>
          <w:b/>
          <w:bCs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Supports Live Insertion, Partial Power</w:t>
      </w:r>
    </w:p>
    <w:p w:rsidR="00CA05DF" w:rsidRDefault="00B94B8B" w:rsidP="00B94B8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Down Mode, and Back Drive Protection</w:t>
      </w:r>
    </w:p>
    <w:p w:rsidR="000B5682" w:rsidRDefault="000B5682" w:rsidP="00B94B8B">
      <w:pPr>
        <w:rPr>
          <w:rFonts w:ascii="Arial" w:hAnsi="Arial" w:cs="Arial"/>
          <w:b/>
          <w:bCs/>
          <w:sz w:val="20"/>
          <w:szCs w:val="20"/>
        </w:rPr>
      </w:pPr>
    </w:p>
    <w:p w:rsidR="000B5682" w:rsidRDefault="000B5682" w:rsidP="00B94B8B">
      <w:pPr>
        <w:rPr>
          <w:rFonts w:ascii="Arial" w:hAnsi="Arial" w:cs="Arial"/>
          <w:b/>
          <w:bCs/>
          <w:sz w:val="20"/>
          <w:szCs w:val="20"/>
        </w:rPr>
      </w:pPr>
    </w:p>
    <w:p w:rsidR="000B5682" w:rsidRDefault="000B5682" w:rsidP="00B94B8B">
      <w:pPr>
        <w:rPr>
          <w:rFonts w:ascii="Arial" w:hAnsi="Arial" w:cs="Arial"/>
          <w:b/>
          <w:bCs/>
          <w:sz w:val="20"/>
          <w:szCs w:val="20"/>
        </w:rPr>
      </w:pPr>
    </w:p>
    <w:p w:rsidR="000B5682" w:rsidRDefault="000B5682" w:rsidP="00B94B8B">
      <w:r w:rsidRPr="000B5682">
        <w:drawing>
          <wp:inline distT="0" distB="0" distL="0" distR="0">
            <wp:extent cx="3886200" cy="2695575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12225" cy="6015038"/>
                      <a:chOff x="76200" y="76200"/>
                      <a:chExt cx="8912225" cy="6015038"/>
                    </a:xfrm>
                  </a:grpSpPr>
                  <a:sp>
                    <a:nvSpPr>
                      <a:cNvPr id="887811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317500" y="1460500"/>
                        <a:ext cx="2859088" cy="3243263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 anchor="ctr"/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800" i="1">
                              <a:solidFill>
                                <a:schemeClr val="tx1"/>
                              </a:solidFill>
                            </a:rPr>
                            <a:t>System Function</a:t>
                          </a:r>
                        </a:p>
                        <a:p>
                          <a:r>
                            <a:rPr lang="en-US" sz="1800" i="1">
                              <a:solidFill>
                                <a:schemeClr val="tx1"/>
                              </a:solidFill>
                            </a:rPr>
                            <a:t>Capability</a:t>
                          </a:r>
                          <a:endParaRPr lang="en-US" sz="100" i="1">
                            <a:solidFill>
                              <a:schemeClr val="tx1"/>
                            </a:solidFill>
                          </a:endParaRPr>
                        </a:p>
                        <a:p>
                          <a:endParaRPr lang="en-US" sz="1800" i="1">
                            <a:solidFill>
                              <a:schemeClr val="tx1"/>
                            </a:solidFill>
                          </a:endParaRPr>
                        </a:p>
                        <a:p>
                          <a:endParaRPr lang="en-US" sz="1800" i="1">
                            <a:solidFill>
                              <a:schemeClr val="tx1"/>
                            </a:solidFill>
                          </a:endParaRPr>
                        </a:p>
                        <a:p>
                          <a:endParaRPr lang="en-US" sz="1800" i="1">
                            <a:solidFill>
                              <a:schemeClr val="tx1"/>
                            </a:solidFill>
                          </a:endParaRPr>
                        </a:p>
                        <a:p>
                          <a:endParaRPr lang="en-US" sz="1800" i="1">
                            <a:solidFill>
                              <a:schemeClr val="tx1"/>
                            </a:solidFill>
                          </a:endParaRPr>
                        </a:p>
                        <a:p>
                          <a:endParaRPr lang="en-US" sz="1800" i="1">
                            <a:solidFill>
                              <a:schemeClr val="tx1"/>
                            </a:solidFill>
                          </a:endParaRPr>
                        </a:p>
                        <a:p>
                          <a:endParaRPr lang="en-US" sz="1800" i="1">
                            <a:solidFill>
                              <a:schemeClr val="tx1"/>
                            </a:solidFill>
                          </a:endParaRPr>
                        </a:p>
                        <a:p>
                          <a:endParaRPr lang="en-US" sz="1800" i="1">
                            <a:solidFill>
                              <a:schemeClr val="tx1"/>
                            </a:solidFill>
                          </a:endParaRPr>
                        </a:p>
                        <a:p>
                          <a:endParaRPr lang="en-US" sz="1800" i="1">
                            <a:solidFill>
                              <a:schemeClr val="tx1"/>
                            </a:solidFill>
                          </a:endParaRPr>
                        </a:p>
                        <a:p>
                          <a:r>
                            <a:rPr lang="en-US" sz="1800" i="1">
                              <a:solidFill>
                                <a:schemeClr val="tx1"/>
                              </a:solidFill>
                            </a:rPr>
                            <a:t>bus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87812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542925" y="3608388"/>
                        <a:ext cx="811213" cy="666750"/>
                      </a:xfrm>
                      <a:prstGeom prst="cube">
                        <a:avLst>
                          <a:gd name="adj" fmla="val 10384"/>
                        </a:avLst>
                      </a:prstGeom>
                      <a:solidFill>
                        <a:srgbClr val="E7F06E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87813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557213" y="2381250"/>
                        <a:ext cx="996950" cy="320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en-US" sz="1500" b="0">
                              <a:solidFill>
                                <a:schemeClr val="tx1"/>
                              </a:solidFill>
                            </a:rPr>
                            <a:t>V</a:t>
                          </a:r>
                          <a:r>
                            <a:rPr lang="en-US" sz="1500" b="0" baseline="-25000">
                              <a:solidFill>
                                <a:schemeClr val="tx1"/>
                              </a:solidFill>
                            </a:rPr>
                            <a:t>CC</a:t>
                          </a:r>
                          <a:r>
                            <a:rPr lang="en-US" sz="1500" b="0">
                              <a:solidFill>
                                <a:schemeClr val="tx1"/>
                              </a:solidFill>
                            </a:rPr>
                            <a:t> = 0 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87814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2155825" y="2381250"/>
                        <a:ext cx="996950" cy="320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en-US" sz="1500" b="0">
                              <a:solidFill>
                                <a:schemeClr val="tx1"/>
                              </a:solidFill>
                            </a:rPr>
                            <a:t>V</a:t>
                          </a:r>
                          <a:r>
                            <a:rPr lang="en-US" sz="1500" b="0" baseline="-25000">
                              <a:solidFill>
                                <a:schemeClr val="tx1"/>
                              </a:solidFill>
                            </a:rPr>
                            <a:t>CC</a:t>
                          </a:r>
                          <a:r>
                            <a:rPr lang="en-US" sz="1500" b="0">
                              <a:solidFill>
                                <a:schemeClr val="tx1"/>
                              </a:solidFill>
                            </a:rPr>
                            <a:t> = 5 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87815" name="Line 7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347788" y="3960813"/>
                        <a:ext cx="817562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chemeClr val="tx1"/>
                        </a:solidFill>
                        <a:round/>
                        <a:headEnd type="stealth" w="med" len="med"/>
                        <a:tailEnd type="stealth" w="med" len="med"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87816" name="AutoShape 8"/>
                      <a:cNvSpPr>
                        <a:spLocks noChangeArrowheads="1"/>
                      </a:cNvSpPr>
                    </a:nvSpPr>
                    <a:spPr bwMode="auto">
                      <a:xfrm>
                        <a:off x="2146300" y="3608388"/>
                        <a:ext cx="811213" cy="666750"/>
                      </a:xfrm>
                      <a:prstGeom prst="cube">
                        <a:avLst>
                          <a:gd name="adj" fmla="val 10384"/>
                        </a:avLst>
                      </a:prstGeom>
                      <a:solidFill>
                        <a:srgbClr val="E7F06E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 anchor="ctr"/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 sz="1800" b="0" baseline="-2500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887817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704850" y="2801938"/>
                        <a:ext cx="417513" cy="811212"/>
                        <a:chOff x="604" y="1625"/>
                        <a:chExt cx="263" cy="511"/>
                      </a:xfrm>
                    </a:grpSpPr>
                    <a:sp>
                      <a:nvSpPr>
                        <a:cNvPr id="887818" name="Line 1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36" y="1626"/>
                          <a:ext cx="0" cy="5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87819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04" y="1625"/>
                          <a:ext cx="263" cy="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87820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2336800" y="2813050"/>
                        <a:ext cx="417513" cy="811213"/>
                        <a:chOff x="604" y="1625"/>
                        <a:chExt cx="263" cy="511"/>
                      </a:xfrm>
                    </a:grpSpPr>
                    <a:sp>
                      <a:nvSpPr>
                        <a:cNvPr id="887821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36" y="1626"/>
                          <a:ext cx="0" cy="5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87822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04" y="1625"/>
                          <a:ext cx="263" cy="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2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887823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542925" y="4899025"/>
                        <a:ext cx="7904163" cy="55562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 type="none" w="sm" len="sm"/>
                        <a:tailEnd type="none" w="sm" len="sm"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87824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542925" y="4899025"/>
                        <a:ext cx="7893050" cy="1192213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miter lim="800000"/>
                        <a:headEnd type="none" w="sm" len="sm"/>
                        <a:tailEnd type="none" w="sm" len="sm"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87825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38200" y="5029200"/>
                        <a:ext cx="5399088" cy="3810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 type="none" w="sm" len="sm"/>
                        <a:tailEnd type="none" w="sm" len="sm"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en-US" sz="1900" i="1">
                              <a:solidFill>
                                <a:schemeClr val="bg1"/>
                              </a:solidFill>
                            </a:rPr>
                            <a:t>Families Supporting Partial Power Down (I</a:t>
                          </a:r>
                          <a:r>
                            <a:rPr lang="en-US" sz="1900" i="1" baseline="-25000">
                              <a:solidFill>
                                <a:schemeClr val="bg1"/>
                              </a:solidFill>
                            </a:rPr>
                            <a:t>off</a:t>
                          </a:r>
                          <a:r>
                            <a:rPr lang="en-US" sz="1900" i="1">
                              <a:solidFill>
                                <a:schemeClr val="bg1"/>
                              </a:solidFill>
                            </a:rPr>
                            <a:t> 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87826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5800" y="5638800"/>
                        <a:ext cx="7650163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 type="none" w="sm" len="sm"/>
                        <a:tailEnd type="none" w="sm" len="sm"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>
                            <a:spcBef>
                              <a:spcPct val="20000"/>
                            </a:spcBef>
                            <a:buClr>
                              <a:schemeClr val="hlink"/>
                            </a:buClr>
                            <a:buSzPct val="87000"/>
                            <a:buFont typeface="Monotype Sorts" pitchFamily="2" charset="2"/>
                            <a:buNone/>
                          </a:pPr>
                          <a:r>
                            <a:rPr lang="en-US" sz="1600">
                              <a:solidFill>
                                <a:schemeClr val="tx1"/>
                              </a:solidFill>
                            </a:rPr>
                            <a:t>ABT, ALVT, AVC, AUC, AUP, CBTLV, CBT-C,</a:t>
                          </a:r>
                          <a:r>
                            <a:rPr lang="en-US" sz="1600" b="0" baseline="-25000">
                              <a:solidFill>
                                <a:schemeClr val="tx1"/>
                              </a:solidFill>
                            </a:rPr>
                            <a:t> </a:t>
                          </a:r>
                          <a:r>
                            <a:rPr lang="en-US" sz="1600">
                              <a:solidFill>
                                <a:schemeClr val="tx1"/>
                              </a:solidFill>
                            </a:rPr>
                            <a:t>GTL, GTLP</a:t>
                          </a:r>
                          <a:r>
                            <a:rPr lang="en-US" sz="1600" b="0" baseline="-25000">
                              <a:solidFill>
                                <a:schemeClr val="tx1"/>
                              </a:solidFill>
                            </a:rPr>
                            <a:t> </a:t>
                          </a:r>
                          <a:r>
                            <a:rPr lang="en-US" sz="1600">
                              <a:solidFill>
                                <a:schemeClr val="tx1"/>
                              </a:solidFill>
                            </a:rPr>
                            <a:t>LV-A, LVC, LVT, VME</a:t>
                          </a:r>
                          <a:endParaRPr lang="en-US" sz="1600" b="0">
                            <a:solidFill>
                              <a:schemeClr val="tx1"/>
                            </a:solidFill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87827" name="AutoShape 19"/>
                      <a:cNvSpPr>
                        <a:spLocks noChangeArrowheads="1"/>
                      </a:cNvSpPr>
                    </a:nvSpPr>
                    <a:spPr bwMode="auto">
                      <a:xfrm flipH="1">
                        <a:off x="938213" y="3024188"/>
                        <a:ext cx="1506537" cy="577850"/>
                      </a:xfrm>
                      <a:prstGeom prst="curvedUpArrow">
                        <a:avLst>
                          <a:gd name="adj1" fmla="val 52143"/>
                          <a:gd name="adj2" fmla="val 104286"/>
                          <a:gd name="adj3" fmla="val 33333"/>
                        </a:avLst>
                      </a:prstGeom>
                      <a:solidFill>
                        <a:schemeClr val="tx2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 type="none" w="sm" len="sm"/>
                        <a:tailEnd type="none" w="sm" len="sm"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87828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6191250" y="4346575"/>
                        <a:ext cx="2640013" cy="549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lIns="92075" tIns="46038" rIns="92075" bIns="46038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>
                            <a:spcBef>
                              <a:spcPct val="25000"/>
                            </a:spcBef>
                          </a:pPr>
                          <a:r>
                            <a:rPr lang="en-US" sz="1500" b="0" i="1">
                              <a:solidFill>
                                <a:schemeClr val="tx1"/>
                              </a:solidFill>
                            </a:rPr>
                            <a:t>When V</a:t>
                          </a:r>
                          <a:r>
                            <a:rPr lang="en-US" sz="1500" b="0" i="1" baseline="-25000">
                              <a:solidFill>
                                <a:schemeClr val="tx1"/>
                              </a:solidFill>
                            </a:rPr>
                            <a:t>CC</a:t>
                          </a:r>
                          <a:r>
                            <a:rPr lang="en-US" sz="1500" b="0" i="1">
                              <a:solidFill>
                                <a:schemeClr val="tx1"/>
                              </a:solidFill>
                            </a:rPr>
                            <a:t> = 0, I</a:t>
                          </a:r>
                          <a:r>
                            <a:rPr lang="en-US" sz="1500" b="0" i="1" baseline="-25000">
                              <a:solidFill>
                                <a:schemeClr val="tx1"/>
                              </a:solidFill>
                            </a:rPr>
                            <a:t>OUT</a:t>
                          </a:r>
                          <a:r>
                            <a:rPr lang="en-US" sz="1500" b="0" i="1">
                              <a:solidFill>
                                <a:schemeClr val="tx1"/>
                              </a:solidFill>
                            </a:rPr>
                            <a:t> = 0 for</a:t>
                          </a:r>
                          <a:br>
                            <a:rPr lang="en-US" sz="1500" b="0" i="1">
                              <a:solidFill>
                                <a:schemeClr val="tx1"/>
                              </a:solidFill>
                            </a:rPr>
                          </a:br>
                          <a:r>
                            <a:rPr lang="en-US" sz="1500" b="0" i="1">
                              <a:solidFill>
                                <a:schemeClr val="tx1"/>
                              </a:solidFill>
                            </a:rPr>
                            <a:t>V</a:t>
                          </a:r>
                          <a:r>
                            <a:rPr lang="en-US" sz="1500" b="0" i="1" baseline="-25000">
                              <a:solidFill>
                                <a:schemeClr val="tx1"/>
                              </a:solidFill>
                            </a:rPr>
                            <a:t>OUT</a:t>
                          </a:r>
                          <a:r>
                            <a:rPr lang="en-US" sz="1500" b="0" i="1">
                              <a:solidFill>
                                <a:schemeClr val="tx1"/>
                              </a:solidFill>
                            </a:rPr>
                            <a:t> &gt; V</a:t>
                          </a:r>
                          <a:r>
                            <a:rPr lang="en-US" sz="1500" b="0" i="1" baseline="-25000">
                              <a:solidFill>
                                <a:schemeClr val="tx1"/>
                              </a:solidFill>
                            </a:rPr>
                            <a:t>CC</a:t>
                          </a:r>
                          <a:r>
                            <a:rPr lang="en-US" sz="1500" b="0" i="1">
                              <a:solidFill>
                                <a:schemeClr val="tx1"/>
                              </a:solidFill>
                            </a:rPr>
                            <a:t>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87829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49638" y="1331913"/>
                        <a:ext cx="2879725" cy="339248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 type="none" w="sm" len="sm"/>
                        <a:tailEnd type="none" w="sm" len="sm"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36538" indent="-236538" algn="l">
                            <a:spcBef>
                              <a:spcPct val="50000"/>
                            </a:spcBef>
                            <a:buFont typeface="Wingdings" pitchFamily="2" charset="2"/>
                            <a:buChar char="Ø"/>
                          </a:pPr>
                          <a:r>
                            <a:rPr lang="en-US" sz="1600" b="0">
                              <a:solidFill>
                                <a:schemeClr val="tx1"/>
                              </a:solidFill>
                            </a:rPr>
                            <a:t>Prevents unexpected device behavior during  power up or power down</a:t>
                          </a:r>
                        </a:p>
                        <a:p>
                          <a:pPr marL="236538" indent="-236538" algn="l">
                            <a:spcBef>
                              <a:spcPct val="50000"/>
                            </a:spcBef>
                            <a:buFont typeface="Wingdings" pitchFamily="2" charset="2"/>
                            <a:buChar char="Ø"/>
                          </a:pPr>
                          <a:r>
                            <a:rPr lang="en-US" sz="1600" b="0">
                              <a:solidFill>
                                <a:schemeClr val="tx1"/>
                              </a:solidFill>
                            </a:rPr>
                            <a:t>Prevents signals from sourcing current through parasitic diodes</a:t>
                          </a:r>
                        </a:p>
                        <a:p>
                          <a:pPr marL="236538" indent="-236538" algn="l">
                            <a:spcBef>
                              <a:spcPct val="50000"/>
                            </a:spcBef>
                            <a:buFont typeface="Wingdings" pitchFamily="2" charset="2"/>
                            <a:buChar char="Ø"/>
                          </a:pPr>
                          <a:r>
                            <a:rPr lang="en-US" sz="1600" b="0">
                              <a:solidFill>
                                <a:schemeClr val="tx1"/>
                              </a:solidFill>
                            </a:rPr>
                            <a:t>Allows for power down of partial circuits within a system</a:t>
                          </a:r>
                        </a:p>
                        <a:p>
                          <a:pPr marL="236538" indent="-236538" algn="l">
                            <a:spcBef>
                              <a:spcPct val="50000"/>
                            </a:spcBef>
                            <a:buFont typeface="Wingdings" pitchFamily="2" charset="2"/>
                            <a:buChar char="Ø"/>
                          </a:pPr>
                          <a:r>
                            <a:rPr lang="en-US" sz="1600" b="0">
                              <a:solidFill>
                                <a:schemeClr val="tx1"/>
                              </a:solidFill>
                            </a:rPr>
                            <a:t>I</a:t>
                          </a:r>
                          <a:r>
                            <a:rPr lang="en-US" sz="1600" b="0" baseline="-25000">
                              <a:solidFill>
                                <a:schemeClr val="tx1"/>
                              </a:solidFill>
                            </a:rPr>
                            <a:t>off</a:t>
                          </a:r>
                          <a:r>
                            <a:rPr lang="en-US" sz="1600" b="0">
                              <a:solidFill>
                                <a:schemeClr val="tx1"/>
                              </a:solidFill>
                            </a:rPr>
                            <a:t> spec is required for partial power down operations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887830" name="Picture 22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329363" y="1335088"/>
                        <a:ext cx="2659062" cy="29337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887831" name="Line 23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7777163" y="2987675"/>
                        <a:ext cx="671512" cy="158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2"/>
                        </a:solidFill>
                        <a:round/>
                        <a:headEnd type="none" w="sm" len="sm"/>
                        <a:tailEnd type="stealth" w="med" len="med"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87832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7943850" y="2987675"/>
                        <a:ext cx="557213" cy="320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lIns="92075" tIns="46038" rIns="92075" bIns="46038" anchor="ctr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500" b="0" i="1"/>
                            <a:t> I</a:t>
                          </a:r>
                          <a:r>
                            <a:rPr lang="en-US" sz="1500" b="0" i="1" baseline="-25000"/>
                            <a:t>OUT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87833" name="Rectangle 25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1524000" y="76200"/>
                        <a:ext cx="7315200" cy="1143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2075" tIns="46038" rIns="92075" bIns="46038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2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2"/>
                              </a:solidFill>
                              <a:latin typeface="Arial" charset="0"/>
                            </a:defRPr>
                          </a:lvl2pPr>
                          <a:lvl3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2"/>
                              </a:solidFill>
                              <a:latin typeface="Arial" charset="0"/>
                            </a:defRPr>
                          </a:lvl3pPr>
                          <a:lvl4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2"/>
                              </a:solidFill>
                              <a:latin typeface="Arial" charset="0"/>
                            </a:defRPr>
                          </a:lvl4pPr>
                          <a:lvl5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2"/>
                              </a:solidFill>
                              <a:latin typeface="Arial" charset="0"/>
                            </a:defRPr>
                          </a:lvl5pPr>
                          <a:lvl6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2"/>
                              </a:solidFill>
                              <a:latin typeface="Arial" charset="0"/>
                            </a:defRPr>
                          </a:lvl6pPr>
                          <a:lvl7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2"/>
                              </a:solidFill>
                              <a:latin typeface="Arial" charset="0"/>
                            </a:defRPr>
                          </a:lvl7pPr>
                          <a:lvl8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2"/>
                              </a:solidFill>
                              <a:latin typeface="Arial" charset="0"/>
                            </a:defRPr>
                          </a:lvl8pPr>
                          <a:lvl9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2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r>
                            <a:rPr lang="en-US" sz="3000"/>
                            <a:t>Partial Power Down</a:t>
                          </a:r>
                          <a:br>
                            <a:rPr lang="en-US" sz="3000"/>
                          </a:br>
                          <a:r>
                            <a:rPr lang="en-US" sz="3000"/>
                            <a:t>Live Insertion, Level 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87836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6200" y="790575"/>
                        <a:ext cx="306388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eaVert" lIns="92075" tIns="46038" rIns="92075" bIns="46038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2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800" b="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Helvetica" pitchFamily="34" charset="0"/>
                            </a:rPr>
                            <a:t>1–20</a:t>
                          </a:r>
                          <a:endParaRPr lang="en-US" sz="800" b="0">
                            <a:solidFill>
                              <a:schemeClr val="tx1"/>
                            </a:solidFill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0B5682" w:rsidSect="00CA0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B8B"/>
    <w:rsid w:val="000B5682"/>
    <w:rsid w:val="00B94B8B"/>
    <w:rsid w:val="00BA1E67"/>
    <w:rsid w:val="00CA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cockrill</dc:creator>
  <cp:keywords/>
  <dc:description/>
  <cp:lastModifiedBy>chris cockrill</cp:lastModifiedBy>
  <cp:revision>2</cp:revision>
  <dcterms:created xsi:type="dcterms:W3CDTF">2011-06-16T17:53:00Z</dcterms:created>
  <dcterms:modified xsi:type="dcterms:W3CDTF">2011-10-19T17:27:00Z</dcterms:modified>
</cp:coreProperties>
</file>